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872" w:beforeLines="600" w:line="480" w:lineRule="auto"/>
        <w:jc w:val="center"/>
        <w:rPr>
          <w:rFonts w:hint="default" w:ascii="微软雅黑" w:hAnsi="微软雅黑" w:eastAsia="微软雅黑" w:cs="Arial"/>
          <w:b/>
          <w:sz w:val="48"/>
          <w:szCs w:val="44"/>
          <w:lang w:val="en-US" w:eastAsia="zh-CN"/>
        </w:rPr>
      </w:pPr>
      <w:bookmarkStart w:id="16" w:name="_GoBack"/>
      <w:bookmarkEnd w:id="16"/>
      <w:r>
        <w:rPr>
          <w:rFonts w:hint="eastAsia" w:ascii="微软雅黑" w:hAnsi="微软雅黑" w:eastAsia="微软雅黑" w:cs="Arial"/>
          <w:b/>
          <w:sz w:val="48"/>
          <w:szCs w:val="44"/>
        </w:rPr>
        <w:t>供应商外网</w:t>
      </w:r>
      <w:r>
        <w:rPr>
          <w:rFonts w:hint="eastAsia" w:ascii="微软雅黑" w:hAnsi="微软雅黑" w:eastAsia="微软雅黑" w:cs="Arial"/>
          <w:b/>
          <w:sz w:val="48"/>
          <w:szCs w:val="44"/>
          <w:lang w:val="en-US" w:eastAsia="zh-CN"/>
        </w:rPr>
        <w:t>操作指引</w:t>
      </w:r>
    </w:p>
    <w:sdt>
      <w:sdtPr>
        <w:rPr>
          <w:rFonts w:ascii="微软雅黑" w:hAnsi="微软雅黑" w:eastAsia="微软雅黑" w:cstheme="minorBidi"/>
          <w:b w:val="0"/>
          <w:bCs w:val="0"/>
          <w:color w:val="auto"/>
          <w:kern w:val="2"/>
          <w:sz w:val="18"/>
          <w:szCs w:val="18"/>
          <w:u w:val="single"/>
          <w:lang w:val="zh-CN"/>
        </w:rPr>
        <w:id w:val="515271481"/>
        <w:showingPlcHdr/>
      </w:sdtPr>
      <w:sdtEndPr>
        <w:rPr>
          <w:rFonts w:ascii="微软雅黑" w:hAnsi="微软雅黑" w:eastAsia="微软雅黑" w:cstheme="minorBidi"/>
          <w:b w:val="0"/>
          <w:bCs w:val="0"/>
          <w:color w:val="auto"/>
          <w:kern w:val="2"/>
          <w:sz w:val="18"/>
          <w:szCs w:val="18"/>
          <w:u w:val="single"/>
          <w:lang w:val="zh-CN"/>
        </w:rPr>
      </w:sdtEndPr>
      <w:sdtContent>
        <w:p>
          <w:pPr>
            <w:rPr>
              <w:rFonts w:ascii="微软雅黑" w:hAnsi="微软雅黑" w:eastAsia="微软雅黑"/>
              <w:sz w:val="18"/>
              <w:szCs w:val="18"/>
              <w:u w:val="single"/>
              <w:lang w:val="zh-CN"/>
            </w:rPr>
          </w:pPr>
        </w:p>
      </w:sdtContent>
    </w:sdt>
    <w:p>
      <w:pPr>
        <w:rPr>
          <w:rFonts w:ascii="微软雅黑" w:hAnsi="微软雅黑" w:eastAsia="微软雅黑"/>
          <w:b/>
          <w:bCs/>
          <w:sz w:val="18"/>
          <w:szCs w:val="18"/>
          <w:highlight w:val="none"/>
        </w:rPr>
      </w:pPr>
      <w:bookmarkStart w:id="0" w:name="_Toc19037"/>
      <w:r>
        <w:rPr>
          <w:rFonts w:hint="eastAsia" w:ascii="微软雅黑" w:hAnsi="微软雅黑" w:eastAsia="微软雅黑"/>
          <w:b/>
          <w:bCs/>
          <w:sz w:val="36"/>
          <w:szCs w:val="36"/>
          <w:highlight w:val="none"/>
        </w:rPr>
        <w:t>招采外网平台</w:t>
      </w:r>
      <w:bookmarkEnd w:id="0"/>
    </w:p>
    <w:p>
      <w:pPr>
        <w:widowControl/>
        <w:spacing w:line="240" w:lineRule="auto"/>
        <w:rPr>
          <w:rFonts w:ascii="微软雅黑" w:hAnsi="微软雅黑" w:eastAsia="微软雅黑"/>
          <w:highlight w:val="none"/>
        </w:rPr>
      </w:pPr>
      <w:r>
        <w:rPr>
          <w:rFonts w:hint="eastAsia" w:ascii="微软雅黑" w:hAnsi="微软雅黑" w:eastAsia="微软雅黑"/>
          <w:highlight w:val="none"/>
        </w:rPr>
        <w:t>招采外网平台</w:t>
      </w:r>
      <w:r>
        <w:rPr>
          <w:rFonts w:hint="eastAsia" w:ascii="微软雅黑" w:hAnsi="微软雅黑" w:eastAsia="微软雅黑"/>
          <w:szCs w:val="24"/>
          <w:highlight w:val="none"/>
        </w:rPr>
        <w:t>（</w:t>
      </w:r>
      <w:r>
        <w:rPr>
          <w:rFonts w:hint="eastAsia" w:ascii="微软雅黑" w:hAnsi="微软雅黑" w:eastAsia="微软雅黑"/>
          <w:highlight w:val="none"/>
        </w:rPr>
        <w:t>https://home.myyscm.com/</w:t>
      </w:r>
      <w:r>
        <w:rPr>
          <w:rFonts w:hint="eastAsia" w:ascii="微软雅黑" w:hAnsi="微软雅黑" w:eastAsia="微软雅黑"/>
          <w:color w:val="FF0000"/>
          <w:highlight w:val="none"/>
        </w:rPr>
        <w:t>租户代码</w:t>
      </w:r>
      <w:r>
        <w:rPr>
          <w:rFonts w:hint="eastAsia" w:ascii="微软雅黑" w:hAnsi="微软雅黑" w:eastAsia="微软雅黑"/>
          <w:szCs w:val="24"/>
          <w:highlight w:val="none"/>
        </w:rPr>
        <w:t>）</w:t>
      </w:r>
      <w:r>
        <w:rPr>
          <w:rFonts w:hint="eastAsia" w:ascii="微软雅黑" w:hAnsi="微软雅黑" w:eastAsia="微软雅黑"/>
          <w:highlight w:val="none"/>
        </w:rPr>
        <w:t>作为开发商</w:t>
      </w:r>
      <w:r>
        <w:rPr>
          <w:rFonts w:ascii="微软雅黑" w:hAnsi="微软雅黑" w:eastAsia="微软雅黑"/>
          <w:highlight w:val="none"/>
        </w:rPr>
        <w:t>的</w:t>
      </w:r>
      <w:r>
        <w:rPr>
          <w:rFonts w:hint="eastAsia" w:ascii="微软雅黑" w:hAnsi="微软雅黑" w:eastAsia="微软雅黑"/>
          <w:highlight w:val="none"/>
        </w:rPr>
        <w:t>PC端在线招标采购平台，供应商可在外网平台注册登录，管理企业的基础信息，并</w:t>
      </w:r>
      <w:r>
        <w:rPr>
          <w:rFonts w:ascii="微软雅黑" w:hAnsi="微软雅黑" w:eastAsia="微软雅黑"/>
          <w:highlight w:val="none"/>
        </w:rPr>
        <w:t>进行</w:t>
      </w:r>
      <w:r>
        <w:rPr>
          <w:rFonts w:hint="eastAsia" w:ascii="微软雅黑" w:hAnsi="微软雅黑" w:eastAsia="微软雅黑"/>
          <w:highlight w:val="none"/>
        </w:rPr>
        <w:t>投标</w:t>
      </w:r>
      <w:r>
        <w:rPr>
          <w:rFonts w:ascii="微软雅黑" w:hAnsi="微软雅黑" w:eastAsia="微软雅黑"/>
          <w:highlight w:val="none"/>
        </w:rPr>
        <w:t>操作</w:t>
      </w:r>
      <w:r>
        <w:rPr>
          <w:rFonts w:hint="eastAsia" w:ascii="微软雅黑" w:hAnsi="微软雅黑" w:eastAsia="微软雅黑"/>
          <w:highlight w:val="none"/>
        </w:rPr>
        <w:t>。</w:t>
      </w:r>
    </w:p>
    <w:p>
      <w:pPr>
        <w:widowControl/>
        <w:spacing w:line="240" w:lineRule="auto"/>
        <w:rPr>
          <w:rFonts w:hint="eastAsia" w:ascii="微软雅黑" w:hAnsi="微软雅黑" w:eastAsia="微软雅黑"/>
          <w:highlight w:val="yellow"/>
        </w:rPr>
      </w:pPr>
    </w:p>
    <w:p>
      <w:pPr>
        <w:pStyle w:val="3"/>
        <w:rPr>
          <w:rFonts w:ascii="微软雅黑" w:hAnsi="微软雅黑" w:eastAsia="微软雅黑"/>
          <w:highlight w:val="none"/>
        </w:rPr>
      </w:pPr>
      <w:bookmarkStart w:id="1" w:name="_Toc27945"/>
      <w:r>
        <w:rPr>
          <w:rFonts w:hint="eastAsia" w:ascii="微软雅黑" w:hAnsi="微软雅黑" w:eastAsia="微软雅黑"/>
          <w:highlight w:val="none"/>
        </w:rPr>
        <w:t>1、账号注册</w:t>
      </w:r>
      <w:bookmarkEnd w:id="1"/>
    </w:p>
    <w:p>
      <w:pPr>
        <w:widowControl/>
        <w:spacing w:line="240" w:lineRule="auto"/>
        <w:rPr>
          <w:rFonts w:ascii="微软雅黑" w:hAnsi="微软雅黑" w:eastAsia="微软雅黑"/>
          <w:szCs w:val="24"/>
          <w:highlight w:val="none"/>
        </w:rPr>
      </w:pPr>
      <w:r>
        <w:rPr>
          <w:rFonts w:hint="eastAsia" w:ascii="微软雅黑" w:hAnsi="微软雅黑" w:eastAsia="微软雅黑"/>
          <w:szCs w:val="24"/>
          <w:highlight w:val="none"/>
        </w:rPr>
        <w:t>打开门户外网平台地址（</w:t>
      </w:r>
      <w:r>
        <w:rPr>
          <w:rFonts w:hint="eastAsia" w:ascii="微软雅黑" w:hAnsi="微软雅黑" w:eastAsia="微软雅黑"/>
          <w:highlight w:val="none"/>
        </w:rPr>
        <w:t>https://home.myyscm.com/</w:t>
      </w:r>
      <w:r>
        <w:rPr>
          <w:rFonts w:hint="eastAsia" w:ascii="微软雅黑" w:hAnsi="微软雅黑" w:eastAsia="微软雅黑"/>
          <w:color w:val="FF0000"/>
          <w:highlight w:val="none"/>
        </w:rPr>
        <w:t>租户代码</w:t>
      </w:r>
      <w:r>
        <w:rPr>
          <w:rFonts w:hint="eastAsia" w:ascii="微软雅黑" w:hAnsi="微软雅黑" w:eastAsia="微软雅黑"/>
          <w:szCs w:val="24"/>
          <w:highlight w:val="none"/>
        </w:rPr>
        <w:t>），点击首页右上角【企业注册】，创建企业账号提交审核。并请提前准备好以下资料：</w:t>
      </w:r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</w:rPr>
        <w:t>（1）点击【企业注册】；</w:t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3575050"/>
            <wp:effectExtent l="9525" t="9525" r="1206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0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</w:rPr>
        <w:t>（2）创建企业账号，填写公司名称、社会信用代码，并填写手机号，</w:t>
      </w:r>
      <w:r>
        <w:rPr>
          <w:rFonts w:ascii="微软雅黑" w:hAnsi="微软雅黑" w:eastAsia="微软雅黑" w:cs="微软雅黑"/>
          <w:highlight w:val="none"/>
        </w:rPr>
        <w:t>获取</w:t>
      </w:r>
      <w:r>
        <w:rPr>
          <w:rFonts w:hint="eastAsia" w:ascii="微软雅黑" w:hAnsi="微软雅黑" w:eastAsia="微软雅黑" w:cs="微软雅黑"/>
          <w:highlight w:val="none"/>
        </w:rPr>
        <w:t>验证码，输入登录密码等信息，点击【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注册并提交</w:t>
      </w:r>
      <w:r>
        <w:rPr>
          <w:rFonts w:hint="eastAsia" w:ascii="微软雅黑" w:hAnsi="微软雅黑" w:eastAsia="微软雅黑" w:cs="微软雅黑"/>
          <w:highlight w:val="none"/>
        </w:rPr>
        <w:t>】</w:t>
      </w:r>
      <w:r>
        <w:rPr>
          <w:rFonts w:ascii="微软雅黑" w:hAnsi="微软雅黑" w:eastAsia="微软雅黑" w:cs="微软雅黑"/>
          <w:highlight w:val="none"/>
        </w:rPr>
        <w:t>；</w:t>
      </w:r>
    </w:p>
    <w:p>
      <w:pPr>
        <w:widowControl/>
        <w:spacing w:line="240" w:lineRule="auto"/>
        <w:jc w:val="center"/>
      </w:pPr>
      <w:r>
        <w:drawing>
          <wp:inline distT="0" distB="0" distL="114300" distR="114300">
            <wp:extent cx="5274310" cy="2630805"/>
            <wp:effectExtent l="9525" t="9525" r="12065" b="266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240" w:lineRule="auto"/>
        <w:jc w:val="both"/>
      </w:pPr>
      <w:r>
        <w:rPr>
          <w:rFonts w:hint="eastAsia" w:ascii="微软雅黑" w:hAnsi="微软雅黑" w:eastAsia="微软雅黑" w:cs="微软雅黑"/>
        </w:rPr>
        <w:t>（3）</w:t>
      </w:r>
      <w:r>
        <w:rPr>
          <w:rFonts w:hint="eastAsia" w:ascii="微软雅黑" w:hAnsi="微软雅黑" w:eastAsia="微软雅黑" w:cs="微软雅黑"/>
          <w:lang w:val="en-US" w:eastAsia="zh-CN"/>
        </w:rPr>
        <w:t>提示注册成功，</w:t>
      </w:r>
      <w:r>
        <w:rPr>
          <w:rFonts w:hint="eastAsia" w:ascii="微软雅黑" w:hAnsi="微软雅黑" w:eastAsia="微软雅黑" w:cs="微软雅黑"/>
        </w:rPr>
        <w:t>点击【</w:t>
      </w:r>
      <w:r>
        <w:rPr>
          <w:rFonts w:ascii="微软雅黑" w:hAnsi="微软雅黑" w:eastAsia="微软雅黑" w:cs="微软雅黑"/>
        </w:rPr>
        <w:t>进入</w:t>
      </w:r>
      <w:r>
        <w:rPr>
          <w:rFonts w:hint="eastAsia" w:ascii="微软雅黑" w:hAnsi="微软雅黑" w:eastAsia="微软雅黑" w:cs="微软雅黑"/>
        </w:rPr>
        <w:t>管理平台】</w:t>
      </w:r>
      <w:r>
        <w:rPr>
          <w:rFonts w:ascii="微软雅黑" w:hAnsi="微软雅黑" w:eastAsia="微软雅黑" w:cs="微软雅黑"/>
        </w:rPr>
        <w:t>；</w:t>
      </w:r>
    </w:p>
    <w:p>
      <w:pPr>
        <w:widowControl/>
        <w:spacing w:line="240" w:lineRule="auto"/>
        <w:jc w:val="center"/>
      </w:pPr>
      <w:r>
        <w:drawing>
          <wp:inline distT="0" distB="0" distL="114300" distR="114300">
            <wp:extent cx="5269230" cy="2411095"/>
            <wp:effectExtent l="9525" t="9525" r="1714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）填写企业的基本资料信息，包括基本信息、企业资质、银行账号等，所有*</w:t>
      </w:r>
      <w:r>
        <w:rPr>
          <w:rFonts w:ascii="微软雅黑" w:hAnsi="微软雅黑" w:eastAsia="微软雅黑" w:cs="微软雅黑"/>
        </w:rPr>
        <w:t>号</w:t>
      </w:r>
      <w:r>
        <w:rPr>
          <w:rFonts w:hint="eastAsia" w:ascii="微软雅黑" w:hAnsi="微软雅黑" w:eastAsia="微软雅黑" w:cs="微软雅黑"/>
        </w:rPr>
        <w:t>标注的均为必填项，</w:t>
      </w:r>
      <w:r>
        <w:rPr>
          <w:rFonts w:hint="eastAsia" w:ascii="微软雅黑" w:hAnsi="微软雅黑" w:eastAsia="微软雅黑"/>
          <w:b/>
          <w:color w:val="92D050"/>
          <w:szCs w:val="24"/>
        </w:rPr>
        <w:t>（此处根据客户具体情况自行变更）</w:t>
      </w:r>
      <w:r>
        <w:rPr>
          <w:rFonts w:ascii="微软雅黑" w:hAnsi="微软雅黑" w:eastAsia="微软雅黑" w:cs="微软雅黑"/>
        </w:rPr>
        <w:t>填写</w:t>
      </w:r>
      <w:r>
        <w:rPr>
          <w:rFonts w:hint="eastAsia" w:ascii="微软雅黑" w:hAnsi="微软雅黑" w:eastAsia="微软雅黑" w:cs="微软雅黑"/>
        </w:rPr>
        <w:t>完成后，</w:t>
      </w:r>
      <w:r>
        <w:rPr>
          <w:rFonts w:ascii="微软雅黑" w:hAnsi="微软雅黑" w:eastAsia="微软雅黑" w:cs="微软雅黑"/>
        </w:rPr>
        <w:t>点击</w:t>
      </w:r>
      <w:r>
        <w:rPr>
          <w:rFonts w:hint="eastAsia" w:ascii="微软雅黑" w:hAnsi="微软雅黑" w:eastAsia="微软雅黑" w:cs="微软雅黑"/>
        </w:rPr>
        <w:t>【</w:t>
      </w:r>
      <w:r>
        <w:rPr>
          <w:rFonts w:hint="eastAsia" w:ascii="微软雅黑" w:hAnsi="微软雅黑" w:eastAsia="微软雅黑" w:cs="微软雅黑"/>
          <w:lang w:val="en-US" w:eastAsia="zh-CN"/>
        </w:rPr>
        <w:t>保存</w:t>
      </w:r>
      <w:r>
        <w:rPr>
          <w:rFonts w:hint="eastAsia" w:ascii="微软雅黑" w:hAnsi="微软雅黑" w:eastAsia="微软雅黑" w:cs="微软雅黑"/>
        </w:rPr>
        <w:t>】</w:t>
      </w:r>
      <w:r>
        <w:rPr>
          <w:rFonts w:hint="eastAsia" w:ascii="微软雅黑" w:hAnsi="微软雅黑" w:eastAsia="微软雅黑" w:cs="微软雅黑"/>
          <w:lang w:eastAsia="zh-CN"/>
        </w:rPr>
        <w:t>【</w:t>
      </w:r>
      <w:r>
        <w:rPr>
          <w:rFonts w:hint="eastAsia" w:ascii="微软雅黑" w:hAnsi="微软雅黑" w:eastAsia="微软雅黑" w:cs="微软雅黑"/>
          <w:lang w:val="en-US" w:eastAsia="zh-CN"/>
        </w:rPr>
        <w:t>提交审核</w:t>
      </w:r>
      <w:r>
        <w:rPr>
          <w:rFonts w:hint="eastAsia" w:ascii="微软雅黑" w:hAnsi="微软雅黑" w:eastAsia="微软雅黑" w:cs="微软雅黑"/>
          <w:lang w:eastAsia="zh-CN"/>
        </w:rPr>
        <w:t>】</w:t>
      </w:r>
      <w:r>
        <w:rPr>
          <w:rFonts w:ascii="微软雅黑" w:hAnsi="微软雅黑" w:eastAsia="微软雅黑" w:cs="微软雅黑"/>
        </w:rPr>
        <w:t>；</w:t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</w:p>
    <w:p>
      <w:pPr>
        <w:widowControl/>
        <w:spacing w:line="240" w:lineRule="auto"/>
        <w:jc w:val="both"/>
      </w:pPr>
      <w: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1831340</wp:posOffset>
            </wp:positionV>
            <wp:extent cx="500380" cy="4775835"/>
            <wp:effectExtent l="0" t="0" r="13970" b="5715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2245" cy="7347585"/>
            <wp:effectExtent l="9525" t="9525" r="2413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47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240" w:lineRule="auto"/>
        <w:jc w:val="both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资料提交成功，</w:t>
      </w:r>
      <w:r>
        <w:rPr>
          <w:rFonts w:hint="eastAsia" w:ascii="微软雅黑" w:hAnsi="微软雅黑" w:eastAsia="微软雅黑" w:cs="微软雅黑"/>
        </w:rPr>
        <w:t>可查看到</w:t>
      </w:r>
      <w:r>
        <w:rPr>
          <w:rFonts w:ascii="微软雅黑" w:hAnsi="微软雅黑" w:eastAsia="微软雅黑" w:cs="微软雅黑"/>
        </w:rPr>
        <w:t>已提交</w:t>
      </w:r>
      <w:r>
        <w:rPr>
          <w:rFonts w:hint="eastAsia" w:ascii="微软雅黑" w:hAnsi="微软雅黑" w:eastAsia="微软雅黑" w:cs="微软雅黑"/>
          <w:lang w:val="en-US" w:eastAsia="zh-CN"/>
        </w:rPr>
        <w:t>的</w:t>
      </w:r>
      <w:r>
        <w:rPr>
          <w:rFonts w:hint="eastAsia" w:ascii="微软雅黑" w:hAnsi="微软雅黑" w:eastAsia="微软雅黑" w:cs="微软雅黑"/>
        </w:rPr>
        <w:t>资料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审批前可【撤回】</w:t>
      </w:r>
    </w:p>
    <w:p>
      <w:pPr>
        <w:widowControl/>
        <w:spacing w:line="240" w:lineRule="auto"/>
        <w:jc w:val="both"/>
      </w:pPr>
      <w:r>
        <w:drawing>
          <wp:inline distT="0" distB="0" distL="114300" distR="114300">
            <wp:extent cx="5269230" cy="2411095"/>
            <wp:effectExtent l="9525" t="9525" r="17145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  <w:rPr>
          <w:rFonts w:hint="eastAsia"/>
        </w:rPr>
      </w:pPr>
      <w:r>
        <w:drawing>
          <wp:inline distT="0" distB="0" distL="114300" distR="114300">
            <wp:extent cx="5269230" cy="2411095"/>
            <wp:effectExtent l="12700" t="12700" r="1397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pacing w:line="240" w:lineRule="auto"/>
        <w:jc w:val="both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资料审核通过，跳转至已审核界面，日常进行【资料更新】，更新资料后需提交审核，待开发商审核通过；</w:t>
      </w:r>
    </w:p>
    <w:p>
      <w:pPr>
        <w:widowControl/>
        <w:spacing w:line="240" w:lineRule="auto"/>
        <w:jc w:val="both"/>
        <w:rPr>
          <w:rFonts w:hint="eastAsia" w:ascii="微软雅黑" w:hAnsi="微软雅黑" w:eastAsia="微软雅黑"/>
        </w:rPr>
      </w:pPr>
      <w:r>
        <w:drawing>
          <wp:inline distT="0" distB="0" distL="114300" distR="114300">
            <wp:extent cx="5269230" cy="2411095"/>
            <wp:effectExtent l="9525" t="9525" r="17145" b="1778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2" w:name="_Toc19248"/>
      <w:r>
        <w:rPr>
          <w:rFonts w:hint="eastAsia" w:ascii="微软雅黑" w:hAnsi="微软雅黑" w:eastAsia="微软雅黑"/>
        </w:rPr>
        <w:t>2、企业档案维护</w:t>
      </w:r>
      <w:bookmarkEnd w:id="2"/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/>
        </w:rPr>
        <w:t>（1）</w:t>
      </w:r>
      <w:r>
        <w:rPr>
          <w:rFonts w:hint="eastAsia" w:ascii="微软雅黑" w:hAnsi="微软雅黑" w:eastAsia="微软雅黑" w:cs="微软雅黑"/>
        </w:rPr>
        <w:t>开发商审核不通过，被驳回后，【我的通知】中显示资料已被驳回，企业档案中企业档案的状态变为“被打回”，并可查看不通过原因；</w:t>
      </w:r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7325" cy="2226310"/>
            <wp:effectExtent l="9525" t="9525" r="19050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411095"/>
            <wp:effectExtent l="9525" t="9525" r="17145" b="1778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企业档案被驳回后，</w:t>
      </w:r>
      <w:r>
        <w:rPr>
          <w:rFonts w:ascii="微软雅黑" w:hAnsi="微软雅黑" w:eastAsia="微软雅黑" w:cs="微软雅黑"/>
        </w:rPr>
        <w:t>可根据</w:t>
      </w:r>
      <w:r>
        <w:rPr>
          <w:rFonts w:hint="eastAsia" w:ascii="微软雅黑" w:hAnsi="微软雅黑" w:eastAsia="微软雅黑" w:cs="微软雅黑"/>
        </w:rPr>
        <w:t>开发商反馈的不通过原因，</w:t>
      </w:r>
      <w:r>
        <w:rPr>
          <w:rFonts w:ascii="微软雅黑" w:hAnsi="微软雅黑" w:eastAsia="微软雅黑" w:cs="微软雅黑"/>
        </w:rPr>
        <w:t>对</w:t>
      </w:r>
      <w:r>
        <w:rPr>
          <w:rFonts w:hint="eastAsia" w:ascii="微软雅黑" w:hAnsi="微软雅黑" w:eastAsia="微软雅黑" w:cs="微软雅黑"/>
        </w:rPr>
        <w:t>企业档案的资料进行补充完善，</w:t>
      </w:r>
      <w:r>
        <w:rPr>
          <w:rFonts w:ascii="微软雅黑" w:hAnsi="微软雅黑" w:eastAsia="微软雅黑" w:cs="微软雅黑"/>
        </w:rPr>
        <w:t>重新</w:t>
      </w:r>
      <w:r>
        <w:rPr>
          <w:rFonts w:hint="eastAsia" w:ascii="微软雅黑" w:hAnsi="微软雅黑" w:eastAsia="微软雅黑" w:cs="微软雅黑"/>
        </w:rPr>
        <w:t>编辑企业档案信息并提交；</w:t>
      </w:r>
    </w:p>
    <w:p>
      <w:pPr>
        <w:widowControl/>
        <w:numPr>
          <w:ilvl w:val="0"/>
          <w:numId w:val="0"/>
        </w:numPr>
        <w:spacing w:line="240" w:lineRule="auto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230" cy="2411095"/>
            <wp:effectExtent l="9525" t="9525" r="17145" b="1778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</w:p>
    <w:p>
      <w:pPr>
        <w:widowControl/>
        <w:numPr>
          <w:ilvl w:val="0"/>
          <w:numId w:val="3"/>
        </w:numPr>
        <w:spacing w:line="240" w:lineRule="auto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当开发商审核通过后，【我的通知】中显示资料已被审核通过，企业档案中企业档案的状态变为已审核；</w:t>
      </w: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1027430"/>
            <wp:effectExtent l="9525" t="9525" r="17145" b="107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spacing w:line="240" w:lineRule="auto"/>
        <w:ind w:left="0" w:leftChars="0" w:firstLine="0" w:firstLineChars="0"/>
        <w:jc w:val="both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当供应商的资料后续有变更时，可进入企业档案中进行编辑并提交即可。</w:t>
      </w:r>
    </w:p>
    <w:p>
      <w:pPr>
        <w:widowControl/>
        <w:numPr>
          <w:ilvl w:val="0"/>
          <w:numId w:val="0"/>
        </w:numPr>
        <w:spacing w:line="240" w:lineRule="auto"/>
        <w:ind w:leftChars="0"/>
        <w:jc w:val="both"/>
        <w:rPr>
          <w:rFonts w:hint="eastAsia" w:ascii="微软雅黑" w:hAnsi="微软雅黑" w:eastAsia="微软雅黑"/>
        </w:rPr>
      </w:pPr>
      <w:r>
        <w:drawing>
          <wp:inline distT="0" distB="0" distL="114300" distR="114300">
            <wp:extent cx="5269230" cy="2411095"/>
            <wp:effectExtent l="9525" t="9525" r="17145" b="1778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</w:rPr>
      </w:pPr>
      <w:bookmarkStart w:id="3" w:name="_Toc26252"/>
      <w:r>
        <w:rPr>
          <w:rFonts w:hint="eastAsia" w:ascii="微软雅黑" w:hAnsi="微软雅黑" w:eastAsia="微软雅黑"/>
        </w:rPr>
        <w:t>招采需求管理</w:t>
      </w:r>
      <w:bookmarkEnd w:id="3"/>
    </w:p>
    <w:p>
      <w:pPr>
        <w:pStyle w:val="4"/>
        <w:rPr>
          <w:rFonts w:ascii="微软雅黑" w:hAnsi="微软雅黑" w:eastAsia="微软雅黑"/>
          <w:b w:val="0"/>
          <w:sz w:val="28"/>
        </w:rPr>
      </w:pPr>
      <w:bookmarkStart w:id="4" w:name="_Toc6677"/>
      <w:r>
        <w:rPr>
          <w:rFonts w:hint="eastAsia" w:ascii="微软雅黑" w:hAnsi="微软雅黑" w:eastAsia="微软雅黑"/>
          <w:b w:val="0"/>
          <w:sz w:val="28"/>
        </w:rPr>
        <w:t>3.1登录招采管理平台</w:t>
      </w:r>
      <w:bookmarkEnd w:id="4"/>
    </w:p>
    <w:p>
      <w:pPr>
        <w:rPr>
          <w:rFonts w:ascii="微软雅黑" w:hAnsi="微软雅黑" w:eastAsia="微软雅黑"/>
          <w:szCs w:val="24"/>
        </w:rPr>
      </w:pPr>
      <w:r>
        <w:rPr>
          <w:rFonts w:hint="eastAsia" w:ascii="微软雅黑" w:hAnsi="微软雅黑" w:eastAsia="微软雅黑"/>
          <w:szCs w:val="24"/>
        </w:rPr>
        <w:t>点击首页右上角的手机号码，进入“管理平台”。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96820"/>
            <wp:effectExtent l="19050" t="19050" r="21590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b w:val="0"/>
          <w:sz w:val="28"/>
        </w:rPr>
      </w:pPr>
      <w:bookmarkStart w:id="5" w:name="_Toc15569"/>
      <w:r>
        <w:rPr>
          <w:rFonts w:hint="eastAsia" w:ascii="微软雅黑" w:hAnsi="微软雅黑" w:eastAsia="微软雅黑"/>
          <w:b w:val="0"/>
          <w:sz w:val="28"/>
        </w:rPr>
        <w:t>3.2招标邀请</w:t>
      </w:r>
      <w:bookmarkEnd w:id="5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开发商</w:t>
      </w:r>
      <w:r>
        <w:rPr>
          <w:rFonts w:ascii="微软雅黑" w:hAnsi="微软雅黑" w:eastAsia="微软雅黑" w:cs="微软雅黑"/>
        </w:rPr>
        <w:t>发送招标邀请后，</w:t>
      </w:r>
      <w:r>
        <w:rPr>
          <w:rFonts w:hint="eastAsia" w:ascii="微软雅黑" w:hAnsi="微软雅黑" w:eastAsia="微软雅黑" w:cs="微软雅黑"/>
        </w:rPr>
        <w:t>供应商在外网收到邀请通知，点击【我参与的招标】，</w:t>
      </w:r>
      <w:r>
        <w:rPr>
          <w:rFonts w:hint="eastAsia" w:ascii="微软雅黑" w:hAnsi="微软雅黑" w:eastAsia="微软雅黑" w:cs="微软雅黑"/>
          <w:lang w:val="en-US" w:eastAsia="zh-CN"/>
        </w:rPr>
        <w:t>进入待处理的招标，点击</w:t>
      </w:r>
      <w:r>
        <w:rPr>
          <w:rFonts w:hint="eastAsia" w:ascii="微软雅黑" w:hAnsi="微软雅黑" w:eastAsia="微软雅黑" w:cs="微软雅黑"/>
        </w:rPr>
        <w:t>“接受邀请”或“拒绝邀请”。</w:t>
      </w:r>
    </w:p>
    <w:p>
      <w:r>
        <w:drawing>
          <wp:inline distT="0" distB="0" distL="114300" distR="114300">
            <wp:extent cx="5269865" cy="1038225"/>
            <wp:effectExtent l="9525" t="9525" r="16510" b="1905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3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675130"/>
            <wp:effectExtent l="9525" t="9525" r="20320" b="1079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11095"/>
            <wp:effectExtent l="9525" t="9525" r="17145" b="1778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11095"/>
            <wp:effectExtent l="9525" t="9525" r="17145" b="1778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b w:val="0"/>
          <w:sz w:val="28"/>
          <w:lang w:val="en-US" w:eastAsia="zh-CN"/>
        </w:rPr>
      </w:pPr>
      <w:r>
        <w:rPr>
          <w:rFonts w:hint="eastAsia" w:ascii="微软雅黑" w:hAnsi="微软雅黑" w:eastAsia="微软雅黑"/>
          <w:b w:val="0"/>
          <w:sz w:val="28"/>
        </w:rPr>
        <w:t>3.3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招标保证金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入围后开发商收取保证金，发送线上通知，可在我参与的招标中上传保证金凭证</w:t>
      </w:r>
    </w:p>
    <w:p>
      <w:r>
        <w:drawing>
          <wp:inline distT="0" distB="0" distL="114300" distR="114300">
            <wp:extent cx="5266690" cy="828040"/>
            <wp:effectExtent l="9525" t="9525" r="19685" b="1968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8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85595"/>
            <wp:effectExtent l="9525" t="9525" r="13970" b="2413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893570"/>
            <wp:effectExtent l="9525" t="9525" r="15240" b="2095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3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b w:val="0"/>
          <w:sz w:val="28"/>
        </w:rPr>
      </w:pPr>
      <w:bookmarkStart w:id="6" w:name="_Toc29192"/>
      <w:r>
        <w:rPr>
          <w:rFonts w:hint="eastAsia" w:ascii="微软雅黑" w:hAnsi="微软雅黑" w:eastAsia="微软雅黑"/>
          <w:b w:val="0"/>
          <w:sz w:val="28"/>
        </w:rPr>
        <w:t>3.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4</w:t>
      </w:r>
      <w:r>
        <w:rPr>
          <w:rFonts w:hint="eastAsia" w:ascii="微软雅黑" w:hAnsi="微软雅黑" w:eastAsia="微软雅黑"/>
          <w:b w:val="0"/>
          <w:sz w:val="28"/>
        </w:rPr>
        <w:t>入围通知</w:t>
      </w:r>
      <w:bookmarkEnd w:id="6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接受</w:t>
      </w:r>
      <w:r>
        <w:rPr>
          <w:rFonts w:ascii="微软雅黑" w:hAnsi="微软雅黑" w:eastAsia="微软雅黑" w:cs="微软雅黑"/>
        </w:rPr>
        <w:t>开发商的招标邀请后，</w:t>
      </w:r>
      <w:r>
        <w:rPr>
          <w:rFonts w:hint="eastAsia" w:ascii="微软雅黑" w:hAnsi="微软雅黑" w:eastAsia="微软雅黑" w:cs="微软雅黑"/>
        </w:rPr>
        <w:t>开发商对</w:t>
      </w:r>
      <w:r>
        <w:rPr>
          <w:rFonts w:ascii="微软雅黑" w:hAnsi="微软雅黑" w:eastAsia="微软雅黑" w:cs="微软雅黑"/>
        </w:rPr>
        <w:t>邀请的供应商进行资格审核，审核通过的供应商便会收到入围通知，</w:t>
      </w:r>
      <w:r>
        <w:rPr>
          <w:rFonts w:hint="eastAsia" w:ascii="微软雅黑" w:hAnsi="微软雅黑" w:eastAsia="微软雅黑" w:cs="微软雅黑"/>
        </w:rPr>
        <w:t>供应商登录外网后</w:t>
      </w:r>
      <w:r>
        <w:rPr>
          <w:rFonts w:ascii="微软雅黑" w:hAnsi="微软雅黑" w:eastAsia="微软雅黑" w:cs="微软雅黑"/>
        </w:rPr>
        <w:t>，进入</w:t>
      </w:r>
      <w:r>
        <w:rPr>
          <w:rFonts w:hint="eastAsia" w:ascii="微软雅黑" w:hAnsi="微软雅黑" w:eastAsia="微软雅黑" w:cs="微软雅黑"/>
        </w:rPr>
        <w:t>【我的通知】便可看到入围通知。</w:t>
      </w:r>
    </w:p>
    <w:p>
      <w:pPr>
        <w:widowControl/>
        <w:spacing w:line="240" w:lineRule="auto"/>
        <w:jc w:val="center"/>
      </w:pPr>
      <w:r>
        <w:drawing>
          <wp:inline distT="0" distB="0" distL="114300" distR="114300">
            <wp:extent cx="5271770" cy="1144270"/>
            <wp:effectExtent l="9525" t="9525" r="14605" b="2730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4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b w:val="0"/>
          <w:sz w:val="28"/>
        </w:rPr>
      </w:pPr>
      <w:bookmarkStart w:id="7" w:name="_Toc12378"/>
      <w:r>
        <w:rPr>
          <w:rFonts w:hint="eastAsia" w:ascii="微软雅黑" w:hAnsi="微软雅黑" w:eastAsia="微软雅黑"/>
          <w:b w:val="0"/>
          <w:sz w:val="28"/>
        </w:rPr>
        <w:t>3.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5</w:t>
      </w:r>
      <w:r>
        <w:rPr>
          <w:rFonts w:hint="eastAsia" w:ascii="微软雅黑" w:hAnsi="微软雅黑" w:eastAsia="微软雅黑"/>
          <w:b w:val="0"/>
          <w:sz w:val="28"/>
        </w:rPr>
        <w:t>放弃回标</w:t>
      </w:r>
      <w:bookmarkEnd w:id="7"/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供应商在</w:t>
      </w:r>
      <w:r>
        <w:rPr>
          <w:rFonts w:hint="eastAsia" w:ascii="微软雅黑" w:hAnsi="微软雅黑" w:eastAsia="微软雅黑" w:cs="微软雅黑"/>
          <w:lang w:val="en-US" w:eastAsia="zh-CN"/>
        </w:rPr>
        <w:t>正式回标前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均</w:t>
      </w:r>
      <w:r>
        <w:rPr>
          <w:rFonts w:ascii="微软雅黑" w:hAnsi="微软雅黑" w:eastAsia="微软雅黑" w:cs="微软雅黑"/>
        </w:rPr>
        <w:t>可选择</w:t>
      </w:r>
      <w:r>
        <w:rPr>
          <w:rFonts w:hint="eastAsia" w:ascii="微软雅黑" w:hAnsi="微软雅黑" w:eastAsia="微软雅黑" w:cs="微软雅黑"/>
        </w:rPr>
        <w:t>放弃回标，</w:t>
      </w:r>
      <w:r>
        <w:rPr>
          <w:rFonts w:hint="eastAsia" w:ascii="微软雅黑" w:hAnsi="微软雅黑" w:eastAsia="微软雅黑" w:cs="微软雅黑"/>
          <w:lang w:val="en-US" w:eastAsia="zh-CN"/>
        </w:rPr>
        <w:t>可在【我参与的招标-更多】中放弃回标</w:t>
      </w:r>
      <w:r>
        <w:rPr>
          <w:rFonts w:hint="eastAsia" w:ascii="微软雅黑" w:hAnsi="微软雅黑" w:eastAsia="微软雅黑" w:cs="微软雅黑"/>
        </w:rPr>
        <w:t>，填写弃标原因，确认【放弃回标</w:t>
      </w:r>
      <w:r>
        <w:rPr>
          <w:rFonts w:ascii="微软雅黑" w:hAnsi="微软雅黑" w:eastAsia="微软雅黑" w:cs="微软雅黑"/>
        </w:rPr>
        <w:t>】</w:t>
      </w:r>
      <w:r>
        <w:rPr>
          <w:rFonts w:hint="eastAsia" w:ascii="微软雅黑" w:hAnsi="微软雅黑" w:eastAsia="微软雅黑" w:cs="微软雅黑"/>
        </w:rPr>
        <w:t>即可。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1346200"/>
            <wp:effectExtent l="9525" t="9525" r="19685" b="15875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</w:pPr>
    </w:p>
    <w:p>
      <w:pPr>
        <w:pStyle w:val="4"/>
        <w:rPr>
          <w:rFonts w:ascii="微软雅黑" w:hAnsi="微软雅黑" w:eastAsia="微软雅黑"/>
          <w:b w:val="0"/>
          <w:sz w:val="28"/>
        </w:rPr>
      </w:pPr>
      <w:bookmarkStart w:id="8" w:name="_Toc14797"/>
      <w:r>
        <w:rPr>
          <w:rFonts w:hint="eastAsia" w:ascii="微软雅黑" w:hAnsi="微软雅黑" w:eastAsia="微软雅黑"/>
          <w:b w:val="0"/>
          <w:sz w:val="28"/>
        </w:rPr>
        <w:t>3.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6</w:t>
      </w:r>
      <w:r>
        <w:rPr>
          <w:rFonts w:hint="eastAsia" w:ascii="微软雅黑" w:hAnsi="微软雅黑" w:eastAsia="微软雅黑"/>
          <w:b w:val="0"/>
          <w:sz w:val="28"/>
        </w:rPr>
        <w:t>发标通知</w:t>
      </w:r>
      <w:bookmarkEnd w:id="8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开发商上传并发送</w:t>
      </w:r>
      <w:r>
        <w:rPr>
          <w:rFonts w:ascii="微软雅黑" w:hAnsi="微软雅黑" w:eastAsia="微软雅黑" w:cs="微软雅黑"/>
        </w:rPr>
        <w:t>标书文件给</w:t>
      </w:r>
      <w:r>
        <w:rPr>
          <w:rFonts w:hint="eastAsia" w:ascii="微软雅黑" w:hAnsi="微软雅黑" w:eastAsia="微软雅黑" w:cs="微软雅黑"/>
        </w:rPr>
        <w:t>入围</w:t>
      </w:r>
      <w:r>
        <w:rPr>
          <w:rFonts w:ascii="微软雅黑" w:hAnsi="微软雅黑" w:eastAsia="微软雅黑" w:cs="微软雅黑"/>
        </w:rPr>
        <w:t>的供应商，</w:t>
      </w:r>
      <w:r>
        <w:rPr>
          <w:rFonts w:hint="eastAsia" w:ascii="微软雅黑" w:hAnsi="微软雅黑" w:eastAsia="微软雅黑" w:cs="微软雅黑"/>
        </w:rPr>
        <w:t>入围</w:t>
      </w:r>
      <w:r>
        <w:rPr>
          <w:rFonts w:ascii="微软雅黑" w:hAnsi="微软雅黑" w:eastAsia="微软雅黑" w:cs="微软雅黑"/>
        </w:rPr>
        <w:t>的</w:t>
      </w:r>
      <w:r>
        <w:rPr>
          <w:rFonts w:hint="eastAsia" w:ascii="微软雅黑" w:hAnsi="微软雅黑" w:eastAsia="微软雅黑" w:cs="微软雅黑"/>
        </w:rPr>
        <w:t>供应商在外网【我的通知】收到发标通知。</w:t>
      </w:r>
    </w:p>
    <w:p>
      <w:pPr>
        <w:widowControl/>
        <w:spacing w:line="240" w:lineRule="auto"/>
        <w:jc w:val="center"/>
      </w:pPr>
      <w:r>
        <w:drawing>
          <wp:inline distT="0" distB="0" distL="114300" distR="114300">
            <wp:extent cx="5265420" cy="793750"/>
            <wp:effectExtent l="9525" t="9525" r="20955" b="15875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bookmarkStart w:id="9" w:name="_Toc11564"/>
      <w:r>
        <w:rPr>
          <w:rFonts w:hint="eastAsia" w:ascii="微软雅黑" w:hAnsi="微软雅黑" w:eastAsia="微软雅黑"/>
          <w:b w:val="0"/>
          <w:sz w:val="28"/>
        </w:rPr>
        <w:t>3.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7</w:t>
      </w:r>
      <w:r>
        <w:rPr>
          <w:rFonts w:hint="eastAsia" w:ascii="微软雅黑" w:hAnsi="微软雅黑" w:eastAsia="微软雅黑"/>
          <w:b w:val="0"/>
          <w:sz w:val="28"/>
        </w:rPr>
        <w:t>下载标书</w:t>
      </w:r>
      <w:bookmarkEnd w:id="9"/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</w:t>
      </w:r>
      <w:r>
        <w:rPr>
          <w:rFonts w:ascii="微软雅黑" w:hAnsi="微软雅黑" w:eastAsia="微软雅黑" w:cs="微软雅黑"/>
        </w:rPr>
        <w:t>收到“</w:t>
      </w:r>
      <w:r>
        <w:rPr>
          <w:rFonts w:hint="eastAsia" w:ascii="微软雅黑" w:hAnsi="微软雅黑" w:eastAsia="微软雅黑" w:cs="微软雅黑"/>
        </w:rPr>
        <w:t>发标通知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后</w:t>
      </w:r>
      <w:r>
        <w:rPr>
          <w:rFonts w:ascii="微软雅黑" w:hAnsi="微软雅黑" w:eastAsia="微软雅黑" w:cs="微软雅黑"/>
        </w:rPr>
        <w:t>，可在</w:t>
      </w:r>
      <w:r>
        <w:rPr>
          <w:rFonts w:hint="eastAsia" w:ascii="微软雅黑" w:hAnsi="微软雅黑" w:eastAsia="微软雅黑" w:cs="微软雅黑"/>
        </w:rPr>
        <w:t>【我参与的招标】中</w:t>
      </w:r>
      <w:r>
        <w:rPr>
          <w:rFonts w:hint="eastAsia" w:ascii="微软雅黑" w:hAnsi="微软雅黑" w:eastAsia="微软雅黑" w:cs="微软雅黑"/>
          <w:lang w:val="en-US" w:eastAsia="zh-CN"/>
        </w:rPr>
        <w:t>进入具体的招标，在发标节点</w:t>
      </w:r>
      <w:r>
        <w:rPr>
          <w:rFonts w:hint="eastAsia" w:ascii="微软雅黑" w:hAnsi="微软雅黑" w:eastAsia="微软雅黑" w:cs="微软雅黑"/>
        </w:rPr>
        <w:t>“下载</w:t>
      </w:r>
      <w:r>
        <w:rPr>
          <w:rFonts w:hint="eastAsia" w:ascii="微软雅黑" w:hAnsi="微软雅黑" w:eastAsia="微软雅黑" w:cs="微软雅黑"/>
          <w:lang w:val="en-US" w:eastAsia="zh-CN"/>
        </w:rPr>
        <w:t>/打包下载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</w:rPr>
        <w:t>把开发商上传的标书文件下载至本地查阅。</w:t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411095"/>
            <wp:effectExtent l="9525" t="9525" r="17145" b="17780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b w:val="0"/>
          <w:sz w:val="28"/>
        </w:rPr>
      </w:pPr>
      <w:bookmarkStart w:id="10" w:name="_Toc12343"/>
      <w:r>
        <w:rPr>
          <w:rFonts w:hint="eastAsia" w:ascii="微软雅黑" w:hAnsi="微软雅黑" w:eastAsia="微软雅黑"/>
          <w:b w:val="0"/>
          <w:sz w:val="28"/>
        </w:rPr>
        <w:t>3.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8</w:t>
      </w:r>
      <w:r>
        <w:rPr>
          <w:rFonts w:hint="eastAsia" w:ascii="微软雅黑" w:hAnsi="微软雅黑" w:eastAsia="微软雅黑"/>
          <w:b w:val="0"/>
          <w:sz w:val="28"/>
        </w:rPr>
        <w:t>提交标书疑问</w:t>
      </w:r>
      <w:bookmarkEnd w:id="10"/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若</w:t>
      </w:r>
      <w:r>
        <w:rPr>
          <w:rFonts w:ascii="微软雅黑" w:hAnsi="微软雅黑" w:eastAsia="微软雅黑" w:cs="微软雅黑"/>
        </w:rPr>
        <w:t>对标书</w:t>
      </w:r>
      <w:r>
        <w:rPr>
          <w:rFonts w:hint="eastAsia" w:ascii="微软雅黑" w:hAnsi="微软雅黑" w:eastAsia="微软雅黑" w:cs="微软雅黑"/>
        </w:rPr>
        <w:t>中</w:t>
      </w:r>
      <w:r>
        <w:rPr>
          <w:rFonts w:ascii="微软雅黑" w:hAnsi="微软雅黑" w:eastAsia="微软雅黑" w:cs="微软雅黑"/>
        </w:rPr>
        <w:t>的内容有疑问，可</w:t>
      </w:r>
      <w:r>
        <w:rPr>
          <w:rFonts w:hint="eastAsia" w:ascii="微软雅黑" w:hAnsi="微软雅黑" w:eastAsia="微软雅黑" w:cs="微软雅黑"/>
        </w:rPr>
        <w:t>“提交标书疑问”点击【标书疑问】，把对标书的疑问提交给开发商。</w:t>
      </w: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221865"/>
            <wp:effectExtent l="9525" t="9525" r="17145" b="16510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b w:val="0"/>
          <w:sz w:val="28"/>
        </w:rPr>
      </w:pPr>
      <w:bookmarkStart w:id="11" w:name="_Toc6162"/>
      <w:r>
        <w:rPr>
          <w:rFonts w:hint="eastAsia" w:ascii="微软雅黑" w:hAnsi="微软雅黑" w:eastAsia="微软雅黑"/>
          <w:b w:val="0"/>
          <w:sz w:val="28"/>
        </w:rPr>
        <w:t>3.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9</w:t>
      </w:r>
      <w:r>
        <w:rPr>
          <w:rFonts w:hint="eastAsia" w:ascii="微软雅黑" w:hAnsi="微软雅黑" w:eastAsia="微软雅黑"/>
          <w:b w:val="0"/>
          <w:sz w:val="28"/>
        </w:rPr>
        <w:t>查看开发商答疑</w:t>
      </w:r>
      <w:bookmarkEnd w:id="11"/>
    </w:p>
    <w:p>
      <w:pPr>
        <w:widowControl/>
        <w:spacing w:line="240" w:lineRule="auto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开发商针对供应商提交</w:t>
      </w:r>
      <w:r>
        <w:rPr>
          <w:rFonts w:ascii="微软雅黑" w:hAnsi="微软雅黑" w:eastAsia="微软雅黑" w:cs="微软雅黑"/>
        </w:rPr>
        <w:t>的标书疑问</w:t>
      </w:r>
      <w:r>
        <w:rPr>
          <w:rFonts w:hint="eastAsia" w:ascii="微软雅黑" w:hAnsi="微软雅黑" w:eastAsia="微软雅黑" w:cs="微软雅黑"/>
        </w:rPr>
        <w:t>答疑后，供应商</w:t>
      </w:r>
      <w:r>
        <w:rPr>
          <w:rFonts w:ascii="微软雅黑" w:hAnsi="微软雅黑" w:eastAsia="微软雅黑" w:cs="微软雅黑"/>
        </w:rPr>
        <w:t>在</w:t>
      </w:r>
      <w:r>
        <w:rPr>
          <w:rFonts w:hint="eastAsia" w:ascii="微软雅黑" w:hAnsi="微软雅黑" w:eastAsia="微软雅黑" w:cs="微软雅黑"/>
        </w:rPr>
        <w:t>外网【我的通知</w:t>
      </w:r>
      <w:r>
        <w:rPr>
          <w:rFonts w:ascii="微软雅黑" w:hAnsi="微软雅黑" w:eastAsia="微软雅黑" w:cs="微软雅黑"/>
        </w:rPr>
        <w:t>】</w:t>
      </w:r>
      <w:r>
        <w:rPr>
          <w:rFonts w:hint="eastAsia" w:ascii="微软雅黑" w:hAnsi="微软雅黑" w:eastAsia="微软雅黑" w:cs="微软雅黑"/>
        </w:rPr>
        <w:t>中收到答疑通知，</w:t>
      </w:r>
      <w:r>
        <w:rPr>
          <w:rFonts w:ascii="微软雅黑" w:hAnsi="微软雅黑" w:eastAsia="微软雅黑" w:cs="微软雅黑"/>
        </w:rPr>
        <w:t>进入【</w:t>
      </w:r>
      <w:r>
        <w:rPr>
          <w:rFonts w:hint="eastAsia" w:ascii="微软雅黑" w:hAnsi="微软雅黑" w:eastAsia="微软雅黑" w:cs="微软雅黑"/>
        </w:rPr>
        <w:t>我参与的</w:t>
      </w:r>
      <w:r>
        <w:rPr>
          <w:rFonts w:ascii="微软雅黑" w:hAnsi="微软雅黑" w:eastAsia="微软雅黑" w:cs="微软雅黑"/>
        </w:rPr>
        <w:t>招标】</w:t>
      </w:r>
      <w:r>
        <w:rPr>
          <w:rFonts w:hint="eastAsia" w:ascii="微软雅黑" w:hAnsi="微软雅黑" w:eastAsia="微软雅黑" w:cs="微软雅黑"/>
        </w:rPr>
        <w:t>中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答疑</w:t>
      </w:r>
      <w:r>
        <w:rPr>
          <w:rFonts w:hint="eastAsia" w:ascii="微软雅黑" w:hAnsi="微软雅黑" w:eastAsia="微软雅黑" w:cs="微软雅黑"/>
        </w:rPr>
        <w:t>】</w:t>
      </w:r>
      <w:r>
        <w:rPr>
          <w:rFonts w:hint="eastAsia" w:ascii="微软雅黑" w:hAnsi="微软雅黑" w:eastAsia="微软雅黑" w:cs="微软雅黑"/>
          <w:lang w:val="en-US" w:eastAsia="zh-CN"/>
        </w:rPr>
        <w:t>节点</w:t>
      </w:r>
      <w:r>
        <w:rPr>
          <w:rFonts w:hint="eastAsia" w:ascii="微软雅黑" w:hAnsi="微软雅黑" w:eastAsia="微软雅黑" w:cs="微软雅黑"/>
        </w:rPr>
        <w:t>，即可下载查看开发商的答疑文档。</w:t>
      </w: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5272405" cy="1092835"/>
            <wp:effectExtent l="9525" t="9525" r="1397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2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411095"/>
            <wp:effectExtent l="9525" t="9525" r="1714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b w:val="0"/>
          <w:sz w:val="28"/>
        </w:rPr>
      </w:pPr>
      <w:bookmarkStart w:id="12" w:name="_Toc13378"/>
      <w:r>
        <w:rPr>
          <w:rFonts w:hint="eastAsia" w:ascii="微软雅黑" w:hAnsi="微软雅黑" w:eastAsia="微软雅黑"/>
          <w:b w:val="0"/>
          <w:sz w:val="28"/>
        </w:rPr>
        <w:t>3.</w:t>
      </w:r>
      <w:r>
        <w:rPr>
          <w:rFonts w:hint="eastAsia" w:ascii="微软雅黑" w:hAnsi="微软雅黑" w:eastAsia="微软雅黑"/>
          <w:b w:val="0"/>
          <w:sz w:val="28"/>
          <w:lang w:val="en-US" w:eastAsia="zh-CN"/>
        </w:rPr>
        <w:t>10</w:t>
      </w:r>
      <w:r>
        <w:rPr>
          <w:rFonts w:hint="eastAsia" w:ascii="微软雅黑" w:hAnsi="微软雅黑" w:eastAsia="微软雅黑"/>
          <w:b w:val="0"/>
          <w:sz w:val="28"/>
        </w:rPr>
        <w:t>回标</w:t>
      </w:r>
      <w:bookmarkEnd w:id="12"/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供应商</w:t>
      </w:r>
      <w:r>
        <w:rPr>
          <w:rFonts w:ascii="微软雅黑" w:hAnsi="微软雅黑" w:eastAsia="微软雅黑" w:cs="微软雅黑"/>
        </w:rPr>
        <w:t>查看完开发商的标书文件后，便可进行“</w:t>
      </w:r>
      <w:r>
        <w:rPr>
          <w:rFonts w:hint="eastAsia" w:ascii="微软雅黑" w:hAnsi="微软雅黑" w:eastAsia="微软雅黑" w:cs="微软雅黑"/>
        </w:rPr>
        <w:t>回标</w:t>
      </w:r>
      <w:r>
        <w:rPr>
          <w:rFonts w:ascii="微软雅黑" w:hAnsi="微软雅黑" w:eastAsia="微软雅黑" w:cs="微软雅黑"/>
        </w:rPr>
        <w:t>”</w:t>
      </w:r>
      <w:r>
        <w:rPr>
          <w:rFonts w:hint="eastAsia" w:ascii="微软雅黑" w:hAnsi="微软雅黑" w:eastAsia="微软雅黑" w:cs="微软雅黑"/>
        </w:rPr>
        <w:t>，点击【回标】，填写相关</w:t>
      </w:r>
      <w:r>
        <w:rPr>
          <w:rFonts w:ascii="微软雅黑" w:hAnsi="微软雅黑" w:eastAsia="微软雅黑" w:cs="微软雅黑"/>
        </w:rPr>
        <w:t>报价信息</w:t>
      </w:r>
      <w:r>
        <w:rPr>
          <w:rFonts w:hint="eastAsia" w:ascii="微软雅黑" w:hAnsi="微软雅黑" w:eastAsia="微软雅黑" w:cs="微软雅黑"/>
        </w:rPr>
        <w:t>，并上传相关投标标书文件，</w:t>
      </w:r>
      <w:r>
        <w:rPr>
          <w:rFonts w:ascii="微软雅黑" w:hAnsi="微软雅黑" w:eastAsia="微软雅黑" w:cs="微软雅黑"/>
        </w:rPr>
        <w:t>上传完成后点击【</w:t>
      </w:r>
      <w:r>
        <w:rPr>
          <w:rFonts w:hint="eastAsia" w:ascii="微软雅黑" w:hAnsi="微软雅黑" w:eastAsia="微软雅黑" w:cs="微软雅黑"/>
        </w:rPr>
        <w:t>提交</w:t>
      </w:r>
      <w:r>
        <w:rPr>
          <w:rFonts w:ascii="微软雅黑" w:hAnsi="微软雅黑" w:eastAsia="微软雅黑" w:cs="微软雅黑"/>
        </w:rPr>
        <w:t>】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>提交后开发商开标前可修改报价。</w:t>
      </w:r>
    </w:p>
    <w:p>
      <w:pPr>
        <w:widowControl/>
        <w:spacing w:line="240" w:lineRule="auto"/>
        <w:jc w:val="both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（注意：</w:t>
      </w:r>
      <w:r>
        <w:rPr>
          <w:rFonts w:hint="eastAsia" w:ascii="微软雅黑" w:hAnsi="微软雅黑" w:eastAsia="微软雅黑" w:cs="微软雅黑"/>
        </w:rPr>
        <w:t>若超过回标截止时间还未回标，</w:t>
      </w:r>
      <w:r>
        <w:rPr>
          <w:rFonts w:ascii="微软雅黑" w:hAnsi="微软雅黑" w:eastAsia="微软雅黑" w:cs="微软雅黑"/>
        </w:rPr>
        <w:t>则</w:t>
      </w:r>
      <w:r>
        <w:rPr>
          <w:rFonts w:hint="eastAsia" w:ascii="微软雅黑" w:hAnsi="微软雅黑" w:eastAsia="微软雅黑" w:cs="微软雅黑"/>
        </w:rPr>
        <w:t>视为弃标处理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r>
        <w:drawing>
          <wp:inline distT="0" distB="0" distL="114300" distR="114300">
            <wp:extent cx="5269230" cy="2221865"/>
            <wp:effectExtent l="9525" t="9525" r="17145" b="165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21865"/>
            <wp:effectExtent l="9525" t="9525" r="17145" b="165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b w:val="0"/>
          <w:sz w:val="28"/>
          <w:szCs w:val="28"/>
        </w:rPr>
      </w:pPr>
      <w:bookmarkStart w:id="13" w:name="_Toc12626"/>
      <w:r>
        <w:rPr>
          <w:rFonts w:hint="eastAsia" w:ascii="微软雅黑" w:hAnsi="微软雅黑" w:eastAsia="微软雅黑"/>
          <w:b w:val="0"/>
          <w:sz w:val="28"/>
          <w:szCs w:val="28"/>
        </w:rPr>
        <w:t>3.1</w:t>
      </w:r>
      <w:r>
        <w:rPr>
          <w:rFonts w:hint="eastAsia" w:ascii="微软雅黑" w:hAnsi="微软雅黑" w:eastAsia="微软雅黑"/>
          <w:b w:val="0"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/>
          <w:b w:val="0"/>
          <w:sz w:val="28"/>
          <w:szCs w:val="28"/>
        </w:rPr>
        <w:t>查看质疑&amp;澄清回复</w:t>
      </w:r>
      <w:bookmarkEnd w:id="13"/>
    </w:p>
    <w:p>
      <w:pPr>
        <w:widowControl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</w:t>
      </w:r>
      <w:r>
        <w:rPr>
          <w:rFonts w:ascii="微软雅黑" w:hAnsi="微软雅黑" w:eastAsia="微软雅黑" w:cs="微软雅黑"/>
        </w:rPr>
        <w:t>完后回标后，开发商可对</w:t>
      </w:r>
      <w:r>
        <w:rPr>
          <w:rFonts w:hint="eastAsia" w:ascii="微软雅黑" w:hAnsi="微软雅黑" w:eastAsia="微软雅黑" w:cs="微软雅黑"/>
        </w:rPr>
        <w:t>上传</w:t>
      </w:r>
      <w:r>
        <w:rPr>
          <w:rFonts w:ascii="微软雅黑" w:hAnsi="微软雅黑" w:eastAsia="微软雅黑" w:cs="微软雅黑"/>
        </w:rPr>
        <w:t>的投标文件</w:t>
      </w:r>
      <w:r>
        <w:rPr>
          <w:rFonts w:hint="eastAsia" w:ascii="微软雅黑" w:hAnsi="微软雅黑" w:eastAsia="微软雅黑" w:cs="微软雅黑"/>
        </w:rPr>
        <w:t>提出质疑</w:t>
      </w:r>
      <w:r>
        <w:rPr>
          <w:rFonts w:ascii="微软雅黑" w:hAnsi="微软雅黑" w:eastAsia="微软雅黑" w:cs="微软雅黑"/>
        </w:rPr>
        <w:t>，在</w:t>
      </w:r>
      <w:r>
        <w:rPr>
          <w:rFonts w:hint="eastAsia" w:ascii="微软雅黑" w:hAnsi="微软雅黑" w:eastAsia="微软雅黑" w:cs="微软雅黑"/>
        </w:rPr>
        <w:t>【</w:t>
      </w:r>
      <w:r>
        <w:rPr>
          <w:rFonts w:hint="eastAsia" w:ascii="微软雅黑" w:hAnsi="微软雅黑" w:eastAsia="微软雅黑" w:cs="微软雅黑"/>
          <w:lang w:val="en-US" w:eastAsia="zh-CN"/>
        </w:rPr>
        <w:t>我的通知</w:t>
      </w:r>
      <w:r>
        <w:rPr>
          <w:rFonts w:hint="eastAsia" w:ascii="微软雅黑" w:hAnsi="微软雅黑" w:eastAsia="微软雅黑" w:cs="微软雅黑"/>
        </w:rPr>
        <w:t>】中</w:t>
      </w:r>
      <w:r>
        <w:rPr>
          <w:rFonts w:hint="eastAsia" w:ascii="微软雅黑" w:hAnsi="微软雅黑" w:eastAsia="微软雅黑" w:cs="微软雅黑"/>
          <w:lang w:val="en-US" w:eastAsia="zh-CN"/>
        </w:rPr>
        <w:t>会提示及时澄清，进入</w:t>
      </w:r>
      <w:r>
        <w:rPr>
          <w:rFonts w:hint="eastAsia" w:ascii="微软雅黑" w:hAnsi="微软雅黑" w:eastAsia="微软雅黑" w:cs="微软雅黑"/>
        </w:rPr>
        <w:t>【</w:t>
      </w:r>
      <w:r>
        <w:rPr>
          <w:rFonts w:hint="eastAsia" w:ascii="微软雅黑" w:hAnsi="微软雅黑" w:eastAsia="微软雅黑" w:cs="微软雅黑"/>
          <w:lang w:val="en-US" w:eastAsia="zh-CN"/>
        </w:rPr>
        <w:t>我参与的招标</w:t>
      </w:r>
      <w:r>
        <w:rPr>
          <w:rFonts w:hint="eastAsia" w:ascii="微软雅黑" w:hAnsi="微软雅黑" w:eastAsia="微软雅黑" w:cs="微软雅黑"/>
        </w:rPr>
        <w:t>】</w:t>
      </w:r>
      <w:r>
        <w:rPr>
          <w:rFonts w:hint="eastAsia" w:ascii="微软雅黑" w:hAnsi="微软雅黑" w:eastAsia="微软雅黑" w:cs="微软雅黑"/>
          <w:lang w:val="en-US" w:eastAsia="zh-CN"/>
        </w:rPr>
        <w:t>中可下载开发商质疑，点击【澄清】节点上传澄清文件，点击提交</w:t>
      </w:r>
      <w:r>
        <w:rPr>
          <w:rFonts w:hint="eastAsia" w:ascii="微软雅黑" w:hAnsi="微软雅黑" w:eastAsia="微软雅黑" w:cs="微软雅黑"/>
        </w:rPr>
        <w:t>。</w:t>
      </w:r>
    </w:p>
    <w:p>
      <w:pPr>
        <w:widowControl/>
      </w:pPr>
      <w:r>
        <w:drawing>
          <wp:inline distT="0" distB="0" distL="114300" distR="114300">
            <wp:extent cx="5266690" cy="1095375"/>
            <wp:effectExtent l="9525" t="9525" r="19685" b="190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drawing>
          <wp:inline distT="0" distB="0" distL="114300" distR="114300">
            <wp:extent cx="5269230" cy="2221865"/>
            <wp:effectExtent l="9525" t="9525" r="17145" b="165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</w:p>
    <w:p>
      <w:pPr>
        <w:widowControl/>
      </w:pPr>
      <w:r>
        <w:drawing>
          <wp:inline distT="0" distB="0" distL="114300" distR="114300">
            <wp:extent cx="5269230" cy="2221865"/>
            <wp:effectExtent l="9525" t="9525" r="17145" b="165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drawing>
          <wp:inline distT="0" distB="0" distL="114300" distR="114300">
            <wp:extent cx="5269230" cy="2221865"/>
            <wp:effectExtent l="9525" t="9525" r="17145" b="1651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微软雅黑" w:hAnsi="微软雅黑" w:eastAsia="微软雅黑"/>
          <w:b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 w:val="0"/>
          <w:sz w:val="28"/>
          <w:szCs w:val="28"/>
        </w:rPr>
        <w:t>3.1</w:t>
      </w:r>
      <w:r>
        <w:rPr>
          <w:rFonts w:hint="eastAsia" w:ascii="微软雅黑" w:hAnsi="微软雅黑" w:eastAsia="微软雅黑"/>
          <w:b w:val="0"/>
          <w:sz w:val="28"/>
          <w:szCs w:val="28"/>
          <w:lang w:val="en-US" w:eastAsia="zh-CN"/>
        </w:rPr>
        <w:t>2商务谈判</w:t>
      </w:r>
    </w:p>
    <w:p>
      <w:pPr>
        <w:widowControl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开发商</w:t>
      </w:r>
      <w:r>
        <w:rPr>
          <w:rFonts w:hint="eastAsia" w:ascii="微软雅黑" w:hAnsi="微软雅黑" w:eastAsia="微软雅黑" w:cs="微软雅黑"/>
          <w:lang w:val="en-US" w:eastAsia="zh-CN"/>
        </w:rPr>
        <w:t>评标</w:t>
      </w:r>
      <w:r>
        <w:rPr>
          <w:rFonts w:hint="eastAsia" w:ascii="微软雅黑" w:hAnsi="微软雅黑" w:eastAsia="微软雅黑" w:cs="微软雅黑"/>
        </w:rPr>
        <w:t>后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对商务报价不满意会发起商务谈判。在【我的通知】中会提示及时商务报价，【我参与的招标】节点中再次进行商务报价和商务标上传并提交，提交后商务谈判结束前可修改报价。</w:t>
      </w:r>
    </w:p>
    <w:p>
      <w:pPr>
        <w:widowControl/>
      </w:pPr>
      <w:r>
        <w:drawing>
          <wp:inline distT="0" distB="0" distL="114300" distR="114300">
            <wp:extent cx="5273040" cy="788670"/>
            <wp:effectExtent l="9525" t="9525" r="13335" b="2095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</w:pPr>
      <w:r>
        <w:drawing>
          <wp:inline distT="0" distB="0" distL="114300" distR="114300">
            <wp:extent cx="5269230" cy="2221865"/>
            <wp:effectExtent l="9525" t="9525" r="17145" b="1651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/>
        </w:rPr>
      </w:pPr>
      <w:r>
        <w:drawing>
          <wp:inline distT="0" distB="0" distL="114300" distR="114300">
            <wp:extent cx="5269230" cy="2221865"/>
            <wp:effectExtent l="9525" t="9525" r="17145" b="1651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b w:val="0"/>
          <w:sz w:val="28"/>
          <w:szCs w:val="28"/>
        </w:rPr>
      </w:pPr>
      <w:bookmarkStart w:id="14" w:name="_Toc1897"/>
      <w:r>
        <w:rPr>
          <w:rFonts w:hint="eastAsia" w:ascii="微软雅黑" w:hAnsi="微软雅黑" w:eastAsia="微软雅黑"/>
          <w:b w:val="0"/>
          <w:sz w:val="28"/>
          <w:szCs w:val="28"/>
        </w:rPr>
        <w:t>3.1</w:t>
      </w:r>
      <w:r>
        <w:rPr>
          <w:rFonts w:hint="eastAsia" w:ascii="微软雅黑" w:hAnsi="微软雅黑" w:eastAsia="微软雅黑"/>
          <w:b w:val="0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/>
          <w:b w:val="0"/>
          <w:sz w:val="28"/>
          <w:szCs w:val="28"/>
        </w:rPr>
        <w:t>中标通知</w:t>
      </w:r>
      <w:bookmarkEnd w:id="14"/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开发商</w:t>
      </w:r>
      <w:r>
        <w:rPr>
          <w:rFonts w:ascii="微软雅黑" w:hAnsi="微软雅黑" w:eastAsia="微软雅黑" w:cs="微软雅黑"/>
        </w:rPr>
        <w:t>收到投标文件</w:t>
      </w:r>
      <w:r>
        <w:rPr>
          <w:rFonts w:hint="eastAsia" w:ascii="微软雅黑" w:hAnsi="微软雅黑" w:eastAsia="微软雅黑" w:cs="微软雅黑"/>
        </w:rPr>
        <w:t>后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便</w:t>
      </w:r>
      <w:r>
        <w:rPr>
          <w:rFonts w:ascii="微软雅黑" w:hAnsi="微软雅黑" w:eastAsia="微软雅黑" w:cs="微软雅黑"/>
        </w:rPr>
        <w:t>进行评标，</w:t>
      </w:r>
      <w:r>
        <w:rPr>
          <w:rFonts w:hint="eastAsia" w:ascii="微软雅黑" w:hAnsi="微软雅黑" w:eastAsia="微软雅黑" w:cs="微软雅黑"/>
        </w:rPr>
        <w:t>最终确定</w:t>
      </w:r>
      <w:r>
        <w:rPr>
          <w:rFonts w:ascii="微软雅黑" w:hAnsi="微软雅黑" w:eastAsia="微软雅黑" w:cs="微软雅黑"/>
        </w:rPr>
        <w:t>合作的供应商</w:t>
      </w:r>
      <w:r>
        <w:rPr>
          <w:rFonts w:hint="eastAsia" w:ascii="微软雅黑" w:hAnsi="微软雅黑" w:eastAsia="微软雅黑" w:cs="微软雅黑"/>
        </w:rPr>
        <w:t>，中标</w:t>
      </w:r>
      <w:r>
        <w:rPr>
          <w:rFonts w:ascii="微软雅黑" w:hAnsi="微软雅黑" w:eastAsia="微软雅黑" w:cs="微软雅黑"/>
        </w:rPr>
        <w:t>的</w:t>
      </w:r>
      <w:r>
        <w:rPr>
          <w:rFonts w:hint="eastAsia" w:ascii="微软雅黑" w:hAnsi="微软雅黑" w:eastAsia="微软雅黑" w:cs="微软雅黑"/>
        </w:rPr>
        <w:t>供应商</w:t>
      </w:r>
      <w:r>
        <w:rPr>
          <w:rFonts w:ascii="微软雅黑" w:hAnsi="微软雅黑" w:eastAsia="微软雅黑" w:cs="微软雅黑"/>
        </w:rPr>
        <w:t>在</w:t>
      </w:r>
      <w:r>
        <w:rPr>
          <w:rFonts w:hint="eastAsia" w:ascii="微软雅黑" w:hAnsi="微软雅黑" w:eastAsia="微软雅黑" w:cs="微软雅黑"/>
        </w:rPr>
        <w:t>【我的通知】中，可以看到“中标</w:t>
      </w:r>
      <w:r>
        <w:rPr>
          <w:rFonts w:ascii="微软雅黑" w:hAnsi="微软雅黑" w:eastAsia="微软雅黑" w:cs="微软雅黑"/>
        </w:rPr>
        <w:t>通知</w:t>
      </w:r>
      <w:r>
        <w:rPr>
          <w:rFonts w:hint="eastAsia" w:ascii="微软雅黑" w:hAnsi="微软雅黑" w:eastAsia="微软雅黑" w:cs="微软雅黑"/>
        </w:rPr>
        <w:t>”。</w:t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273675" cy="732790"/>
            <wp:effectExtent l="9525" t="9525" r="12700" b="1968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both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点击【我参与的招标】-【查看中标通知】，可看到开发商发送的“中标通知书”。</w:t>
      </w:r>
    </w:p>
    <w:p>
      <w:pPr>
        <w:widowControl/>
        <w:spacing w:line="24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269230" cy="2221865"/>
            <wp:effectExtent l="9525" t="9525" r="17145" b="1651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b w:val="0"/>
          <w:sz w:val="28"/>
          <w:szCs w:val="28"/>
        </w:rPr>
      </w:pPr>
      <w:bookmarkStart w:id="15" w:name="_Toc4238"/>
      <w:r>
        <w:rPr>
          <w:rFonts w:hint="eastAsia" w:ascii="微软雅黑" w:hAnsi="微软雅黑" w:eastAsia="微软雅黑"/>
          <w:b w:val="0"/>
          <w:sz w:val="28"/>
          <w:szCs w:val="28"/>
        </w:rPr>
        <w:t>3.1</w:t>
      </w:r>
      <w:r>
        <w:rPr>
          <w:rFonts w:hint="eastAsia" w:ascii="微软雅黑" w:hAnsi="微软雅黑" w:eastAsia="微软雅黑"/>
          <w:b w:val="0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/>
          <w:b w:val="0"/>
          <w:sz w:val="28"/>
          <w:szCs w:val="28"/>
        </w:rPr>
        <w:t>中标公告</w:t>
      </w:r>
      <w:bookmarkEnd w:id="15"/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点击首页上方的【中标公告】模块，同样看到所有招标项目的中标公告。</w:t>
      </w:r>
      <w:r>
        <w:rPr>
          <w:rFonts w:hint="eastAsia" w:ascii="微软雅黑" w:hAnsi="微软雅黑" w:eastAsia="微软雅黑" w:cs="微软雅黑"/>
          <w:lang w:val="en-US" w:eastAsia="zh-CN"/>
        </w:rPr>
        <w:t>或</w:t>
      </w:r>
      <w:r>
        <w:rPr>
          <w:rFonts w:hint="eastAsia" w:ascii="微软雅黑" w:hAnsi="微软雅黑" w:eastAsia="微软雅黑" w:cs="微软雅黑"/>
        </w:rPr>
        <w:t>在【首页】</w:t>
      </w:r>
      <w:r>
        <w:rPr>
          <w:rFonts w:hint="eastAsia" w:ascii="微软雅黑" w:hAnsi="微软雅黑" w:eastAsia="微软雅黑" w:cs="微软雅黑"/>
          <w:lang w:val="en-US" w:eastAsia="zh-CN"/>
        </w:rPr>
        <w:t>下方也</w:t>
      </w:r>
      <w:r>
        <w:rPr>
          <w:rFonts w:hint="eastAsia" w:ascii="微软雅黑" w:hAnsi="微软雅黑" w:eastAsia="微软雅黑" w:cs="微软雅黑"/>
        </w:rPr>
        <w:t>可以看到所有招标项目的中标公告。</w:t>
      </w:r>
    </w:p>
    <w:p>
      <w:pPr>
        <w:widowControl/>
        <w:spacing w:line="240" w:lineRule="auto"/>
        <w:jc w:val="both"/>
        <w:rPr>
          <w:rFonts w:hint="eastAsia" w:ascii="微软雅黑" w:hAnsi="微软雅黑" w:eastAsia="微软雅黑" w:cs="微软雅黑"/>
        </w:rPr>
      </w:pPr>
    </w:p>
    <w:p>
      <w:pPr>
        <w:widowControl/>
        <w:spacing w:line="240" w:lineRule="auto"/>
        <w:jc w:val="both"/>
      </w:pPr>
      <w:r>
        <w:drawing>
          <wp:inline distT="0" distB="0" distL="114300" distR="114300">
            <wp:extent cx="5269230" cy="2221865"/>
            <wp:effectExtent l="9525" t="9525" r="17145" b="1651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eastAsia"/>
        </w:rPr>
      </w:pPr>
    </w:p>
    <w:p>
      <w:pPr>
        <w:widowControl/>
        <w:spacing w:line="240" w:lineRule="auto"/>
        <w:jc w:val="both"/>
      </w:pPr>
      <w:r>
        <w:drawing>
          <wp:inline distT="0" distB="0" distL="0" distR="0">
            <wp:extent cx="5274310" cy="8025130"/>
            <wp:effectExtent l="19050" t="19050" r="21590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5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0" w:leftChars="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开发商互动</w:t>
      </w:r>
    </w:p>
    <w:p>
      <w:pPr>
        <w:pStyle w:val="4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sz w:val="28"/>
        </w:rPr>
        <w:t>4.</w:t>
      </w:r>
      <w:r>
        <w:rPr>
          <w:rFonts w:hint="eastAsia" w:ascii="微软雅黑" w:hAnsi="微软雅黑" w:eastAsia="微软雅黑" w:cs="微软雅黑"/>
          <w:b w:val="0"/>
          <w:sz w:val="28"/>
          <w:lang w:val="en-US" w:eastAsia="zh-CN"/>
        </w:rPr>
        <w:t>1投诉建议</w:t>
      </w:r>
    </w:p>
    <w:p>
      <w:pPr>
        <w:widowControl/>
        <w:spacing w:line="240" w:lineRule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若对某单位行为有异议，想要投诉，</w:t>
      </w:r>
      <w:r>
        <w:rPr>
          <w:rFonts w:ascii="微软雅黑" w:hAnsi="微软雅黑" w:eastAsia="微软雅黑" w:cs="微软雅黑"/>
        </w:rPr>
        <w:t>可在</w:t>
      </w:r>
      <w:r>
        <w:rPr>
          <w:rFonts w:hint="eastAsia" w:ascii="微软雅黑" w:hAnsi="微软雅黑" w:eastAsia="微软雅黑" w:cs="微软雅黑"/>
        </w:rPr>
        <w:t>【投诉建议】中，发起投诉：</w:t>
      </w:r>
    </w:p>
    <w:p>
      <w:pPr>
        <w:widowControl/>
        <w:spacing w:line="240" w:lineRule="auto"/>
      </w:pPr>
      <w:r>
        <w:drawing>
          <wp:inline distT="0" distB="0" distL="114300" distR="114300">
            <wp:extent cx="5269230" cy="1673225"/>
            <wp:effectExtent l="9525" t="9525" r="17145" b="1270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221865"/>
            <wp:effectExtent l="9525" t="9525" r="17145" b="1651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投诉提交之后，等待开发商回复，回复结果会在该页面显示：</w:t>
      </w:r>
    </w:p>
    <w:p>
      <w:r>
        <w:drawing>
          <wp:inline distT="0" distB="0" distL="0" distR="0">
            <wp:extent cx="5274310" cy="1580515"/>
            <wp:effectExtent l="9525" t="9525" r="1206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38935"/>
            <wp:effectExtent l="9525" t="9525" r="12065" b="279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 w:cs="微软雅黑"/>
          <w:b w:val="0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sz w:val="28"/>
        </w:rPr>
        <w:t>4.</w:t>
      </w:r>
      <w:r>
        <w:rPr>
          <w:rFonts w:hint="eastAsia" w:ascii="微软雅黑" w:hAnsi="微软雅黑" w:eastAsia="微软雅黑" w:cs="微软雅黑"/>
          <w:b w:val="0"/>
          <w:sz w:val="28"/>
          <w:lang w:val="en-US" w:eastAsia="zh-CN"/>
        </w:rPr>
        <w:t>2满意度调查</w:t>
      </w:r>
    </w:p>
    <w:p>
      <w:pPr>
        <w:widowControl/>
        <w:spacing w:line="240" w:lineRule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与开发商合作后，由开发商发起满意度调查，点击进入填写问题并提交，提交后会变为已提交状态。</w:t>
      </w:r>
    </w:p>
    <w:p>
      <w:r>
        <w:drawing>
          <wp:inline distT="0" distB="0" distL="114300" distR="114300">
            <wp:extent cx="5262245" cy="1612900"/>
            <wp:effectExtent l="9525" t="9525" r="24130" b="15875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12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1668145"/>
            <wp:effectExtent l="9525" t="9525" r="16510" b="1778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8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1628775"/>
            <wp:effectExtent l="9525" t="9525" r="12065" b="19050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E4C481"/>
    <w:multiLevelType w:val="singleLevel"/>
    <w:tmpl w:val="E8E4C481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ECC8812D"/>
    <w:multiLevelType w:val="singleLevel"/>
    <w:tmpl w:val="ECC8812D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59940DAF"/>
    <w:multiLevelType w:val="singleLevel"/>
    <w:tmpl w:val="59940DAF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59941A84"/>
    <w:multiLevelType w:val="singleLevel"/>
    <w:tmpl w:val="59941A84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F7"/>
    <w:rsid w:val="00056DEA"/>
    <w:rsid w:val="00061848"/>
    <w:rsid w:val="00070674"/>
    <w:rsid w:val="000829F5"/>
    <w:rsid w:val="00095021"/>
    <w:rsid w:val="0009743A"/>
    <w:rsid w:val="000C5F01"/>
    <w:rsid w:val="000D7C0E"/>
    <w:rsid w:val="00103F12"/>
    <w:rsid w:val="001127C9"/>
    <w:rsid w:val="00127DE0"/>
    <w:rsid w:val="00136EB3"/>
    <w:rsid w:val="00157146"/>
    <w:rsid w:val="00167CA7"/>
    <w:rsid w:val="00181763"/>
    <w:rsid w:val="001873B0"/>
    <w:rsid w:val="001B1743"/>
    <w:rsid w:val="001B2D6C"/>
    <w:rsid w:val="001C28A2"/>
    <w:rsid w:val="001E1277"/>
    <w:rsid w:val="001E133B"/>
    <w:rsid w:val="001E66D5"/>
    <w:rsid w:val="0020387F"/>
    <w:rsid w:val="002075B1"/>
    <w:rsid w:val="0021060D"/>
    <w:rsid w:val="00261E84"/>
    <w:rsid w:val="00284E98"/>
    <w:rsid w:val="00293639"/>
    <w:rsid w:val="00295C6D"/>
    <w:rsid w:val="002A3FF2"/>
    <w:rsid w:val="002B28D5"/>
    <w:rsid w:val="002C2687"/>
    <w:rsid w:val="002D6509"/>
    <w:rsid w:val="00303513"/>
    <w:rsid w:val="0031125B"/>
    <w:rsid w:val="00316AFD"/>
    <w:rsid w:val="00326AD9"/>
    <w:rsid w:val="003558A1"/>
    <w:rsid w:val="00362920"/>
    <w:rsid w:val="00371A0C"/>
    <w:rsid w:val="003769EB"/>
    <w:rsid w:val="003B0693"/>
    <w:rsid w:val="003C1CCF"/>
    <w:rsid w:val="003D1E24"/>
    <w:rsid w:val="003D49EA"/>
    <w:rsid w:val="003E01C4"/>
    <w:rsid w:val="003E08B9"/>
    <w:rsid w:val="003F4D94"/>
    <w:rsid w:val="00436B2C"/>
    <w:rsid w:val="00467663"/>
    <w:rsid w:val="004808D5"/>
    <w:rsid w:val="00491A5B"/>
    <w:rsid w:val="00495D02"/>
    <w:rsid w:val="004B2692"/>
    <w:rsid w:val="004C049A"/>
    <w:rsid w:val="004C5579"/>
    <w:rsid w:val="004E6593"/>
    <w:rsid w:val="004F5F33"/>
    <w:rsid w:val="0050348D"/>
    <w:rsid w:val="0050513E"/>
    <w:rsid w:val="005119E4"/>
    <w:rsid w:val="00523C64"/>
    <w:rsid w:val="00533383"/>
    <w:rsid w:val="005643DF"/>
    <w:rsid w:val="005719BE"/>
    <w:rsid w:val="00572434"/>
    <w:rsid w:val="0058755E"/>
    <w:rsid w:val="0059738D"/>
    <w:rsid w:val="006268CE"/>
    <w:rsid w:val="0062777C"/>
    <w:rsid w:val="0063527A"/>
    <w:rsid w:val="00650059"/>
    <w:rsid w:val="00675785"/>
    <w:rsid w:val="00681B9C"/>
    <w:rsid w:val="006923F7"/>
    <w:rsid w:val="006A2CC4"/>
    <w:rsid w:val="006A72E8"/>
    <w:rsid w:val="006B4D14"/>
    <w:rsid w:val="0070071F"/>
    <w:rsid w:val="00706678"/>
    <w:rsid w:val="0071765B"/>
    <w:rsid w:val="0072004E"/>
    <w:rsid w:val="00726C51"/>
    <w:rsid w:val="0077717F"/>
    <w:rsid w:val="007B38D7"/>
    <w:rsid w:val="007C09A1"/>
    <w:rsid w:val="00803EB3"/>
    <w:rsid w:val="00831F68"/>
    <w:rsid w:val="0087775C"/>
    <w:rsid w:val="00885C50"/>
    <w:rsid w:val="008A202B"/>
    <w:rsid w:val="008A4A80"/>
    <w:rsid w:val="008C2966"/>
    <w:rsid w:val="008E1493"/>
    <w:rsid w:val="008E70D2"/>
    <w:rsid w:val="008E79C6"/>
    <w:rsid w:val="008F4C84"/>
    <w:rsid w:val="00922F8C"/>
    <w:rsid w:val="009465EC"/>
    <w:rsid w:val="00963A74"/>
    <w:rsid w:val="009750D7"/>
    <w:rsid w:val="009A6319"/>
    <w:rsid w:val="009A78C3"/>
    <w:rsid w:val="009E181E"/>
    <w:rsid w:val="009E4D02"/>
    <w:rsid w:val="00A40DB8"/>
    <w:rsid w:val="00A4486E"/>
    <w:rsid w:val="00A62DF6"/>
    <w:rsid w:val="00A70B5A"/>
    <w:rsid w:val="00A828DD"/>
    <w:rsid w:val="00A83428"/>
    <w:rsid w:val="00AA3755"/>
    <w:rsid w:val="00AC5B53"/>
    <w:rsid w:val="00AC61A0"/>
    <w:rsid w:val="00B231F2"/>
    <w:rsid w:val="00B2598F"/>
    <w:rsid w:val="00B3363C"/>
    <w:rsid w:val="00B371C5"/>
    <w:rsid w:val="00B600E1"/>
    <w:rsid w:val="00B6378A"/>
    <w:rsid w:val="00B80286"/>
    <w:rsid w:val="00B80931"/>
    <w:rsid w:val="00B847BD"/>
    <w:rsid w:val="00B85AA5"/>
    <w:rsid w:val="00BB0025"/>
    <w:rsid w:val="00BB3472"/>
    <w:rsid w:val="00BD1C5E"/>
    <w:rsid w:val="00BD2E3B"/>
    <w:rsid w:val="00BD461A"/>
    <w:rsid w:val="00BE1640"/>
    <w:rsid w:val="00C31DE3"/>
    <w:rsid w:val="00C41D85"/>
    <w:rsid w:val="00C54497"/>
    <w:rsid w:val="00C608B8"/>
    <w:rsid w:val="00C61073"/>
    <w:rsid w:val="00C658D8"/>
    <w:rsid w:val="00C850CE"/>
    <w:rsid w:val="00CC2D35"/>
    <w:rsid w:val="00CF5742"/>
    <w:rsid w:val="00CF5782"/>
    <w:rsid w:val="00CF5BB9"/>
    <w:rsid w:val="00CF7784"/>
    <w:rsid w:val="00D06A70"/>
    <w:rsid w:val="00D168B4"/>
    <w:rsid w:val="00D538F2"/>
    <w:rsid w:val="00D602F4"/>
    <w:rsid w:val="00D72BC2"/>
    <w:rsid w:val="00D80C3C"/>
    <w:rsid w:val="00D96B15"/>
    <w:rsid w:val="00DB4302"/>
    <w:rsid w:val="00DC5BD6"/>
    <w:rsid w:val="00DD5D9D"/>
    <w:rsid w:val="00E47A47"/>
    <w:rsid w:val="00E50D40"/>
    <w:rsid w:val="00E73945"/>
    <w:rsid w:val="00E73FDB"/>
    <w:rsid w:val="00E754CD"/>
    <w:rsid w:val="00E87079"/>
    <w:rsid w:val="00E96A38"/>
    <w:rsid w:val="00EA59EF"/>
    <w:rsid w:val="00EC1E4C"/>
    <w:rsid w:val="00ED5AF9"/>
    <w:rsid w:val="00EF0D4F"/>
    <w:rsid w:val="00EF169F"/>
    <w:rsid w:val="00EF62C0"/>
    <w:rsid w:val="00EF6E31"/>
    <w:rsid w:val="00EF7BF9"/>
    <w:rsid w:val="00F07514"/>
    <w:rsid w:val="00F16E43"/>
    <w:rsid w:val="00F510D3"/>
    <w:rsid w:val="00F60066"/>
    <w:rsid w:val="00F70151"/>
    <w:rsid w:val="00F82CF7"/>
    <w:rsid w:val="00F83D02"/>
    <w:rsid w:val="00F94032"/>
    <w:rsid w:val="00F952F8"/>
    <w:rsid w:val="00FA13FA"/>
    <w:rsid w:val="00FA4645"/>
    <w:rsid w:val="00FA773F"/>
    <w:rsid w:val="00FB62DE"/>
    <w:rsid w:val="00FC6C17"/>
    <w:rsid w:val="00FF2B9D"/>
    <w:rsid w:val="01030BA1"/>
    <w:rsid w:val="0106551C"/>
    <w:rsid w:val="037A2150"/>
    <w:rsid w:val="03D61C11"/>
    <w:rsid w:val="050A0B01"/>
    <w:rsid w:val="058A028E"/>
    <w:rsid w:val="068524EA"/>
    <w:rsid w:val="076E4158"/>
    <w:rsid w:val="079A2DD6"/>
    <w:rsid w:val="090B43A7"/>
    <w:rsid w:val="09DD2D9C"/>
    <w:rsid w:val="0AD22A42"/>
    <w:rsid w:val="0DD7383B"/>
    <w:rsid w:val="0E2D0DBF"/>
    <w:rsid w:val="0FDC3D0D"/>
    <w:rsid w:val="10202A4D"/>
    <w:rsid w:val="12CD4EC9"/>
    <w:rsid w:val="13E87902"/>
    <w:rsid w:val="147C1560"/>
    <w:rsid w:val="14D20231"/>
    <w:rsid w:val="15566B94"/>
    <w:rsid w:val="15B24273"/>
    <w:rsid w:val="16B1181D"/>
    <w:rsid w:val="17AB075C"/>
    <w:rsid w:val="1885509A"/>
    <w:rsid w:val="1E5C0F70"/>
    <w:rsid w:val="1E763B61"/>
    <w:rsid w:val="1F3F421B"/>
    <w:rsid w:val="1FFB3979"/>
    <w:rsid w:val="206871FF"/>
    <w:rsid w:val="20B836C3"/>
    <w:rsid w:val="21073BB9"/>
    <w:rsid w:val="212C7D93"/>
    <w:rsid w:val="21E56C04"/>
    <w:rsid w:val="233502ED"/>
    <w:rsid w:val="2482393F"/>
    <w:rsid w:val="24CA71D4"/>
    <w:rsid w:val="26736C9E"/>
    <w:rsid w:val="26DC5B3F"/>
    <w:rsid w:val="27751A49"/>
    <w:rsid w:val="285A4889"/>
    <w:rsid w:val="2893256C"/>
    <w:rsid w:val="289852BF"/>
    <w:rsid w:val="28F836A1"/>
    <w:rsid w:val="293F319D"/>
    <w:rsid w:val="2A1816A4"/>
    <w:rsid w:val="2A4705E8"/>
    <w:rsid w:val="2AA879C1"/>
    <w:rsid w:val="2ADA0AF9"/>
    <w:rsid w:val="2AFB2837"/>
    <w:rsid w:val="2CD656A8"/>
    <w:rsid w:val="2E334537"/>
    <w:rsid w:val="2E7646E1"/>
    <w:rsid w:val="33773AD7"/>
    <w:rsid w:val="342350A2"/>
    <w:rsid w:val="344168C0"/>
    <w:rsid w:val="35A453AC"/>
    <w:rsid w:val="36390E16"/>
    <w:rsid w:val="3A064FC2"/>
    <w:rsid w:val="3A4F2C7B"/>
    <w:rsid w:val="3DDE31A7"/>
    <w:rsid w:val="3E821ABF"/>
    <w:rsid w:val="3F8B545A"/>
    <w:rsid w:val="42482B28"/>
    <w:rsid w:val="42BE7250"/>
    <w:rsid w:val="45377A91"/>
    <w:rsid w:val="477C0F52"/>
    <w:rsid w:val="48502B9C"/>
    <w:rsid w:val="49EC2544"/>
    <w:rsid w:val="4E916846"/>
    <w:rsid w:val="4FE74EE5"/>
    <w:rsid w:val="53F95C74"/>
    <w:rsid w:val="55FC51DC"/>
    <w:rsid w:val="57CF1504"/>
    <w:rsid w:val="57D820FE"/>
    <w:rsid w:val="57D96245"/>
    <w:rsid w:val="582C4DFB"/>
    <w:rsid w:val="5A0E3747"/>
    <w:rsid w:val="5A643534"/>
    <w:rsid w:val="5A8C1681"/>
    <w:rsid w:val="5C0E58FA"/>
    <w:rsid w:val="5CC33C4F"/>
    <w:rsid w:val="5D0A53B9"/>
    <w:rsid w:val="5DE91A5E"/>
    <w:rsid w:val="5F4C0082"/>
    <w:rsid w:val="5FE9667E"/>
    <w:rsid w:val="60926AE1"/>
    <w:rsid w:val="645438C1"/>
    <w:rsid w:val="64FD1903"/>
    <w:rsid w:val="6577167E"/>
    <w:rsid w:val="66185EBB"/>
    <w:rsid w:val="676E5D34"/>
    <w:rsid w:val="67824A99"/>
    <w:rsid w:val="678C062A"/>
    <w:rsid w:val="687753D8"/>
    <w:rsid w:val="688B7648"/>
    <w:rsid w:val="68F2580C"/>
    <w:rsid w:val="69C43306"/>
    <w:rsid w:val="6B1E38BA"/>
    <w:rsid w:val="6DDE6F32"/>
    <w:rsid w:val="70FA54BD"/>
    <w:rsid w:val="712204D4"/>
    <w:rsid w:val="715334C8"/>
    <w:rsid w:val="723D3CB1"/>
    <w:rsid w:val="73D856B6"/>
    <w:rsid w:val="747D77BF"/>
    <w:rsid w:val="75014A5F"/>
    <w:rsid w:val="75974475"/>
    <w:rsid w:val="75E624DA"/>
    <w:rsid w:val="76331E63"/>
    <w:rsid w:val="763563CC"/>
    <w:rsid w:val="7784176A"/>
    <w:rsid w:val="791176C0"/>
    <w:rsid w:val="799118C2"/>
    <w:rsid w:val="7B223F84"/>
    <w:rsid w:val="7B69759C"/>
    <w:rsid w:val="7C2E769A"/>
    <w:rsid w:val="7C5D4A17"/>
    <w:rsid w:val="7CFD7310"/>
    <w:rsid w:val="7F391166"/>
    <w:rsid w:val="7F39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3"/>
    <w:semiHidden/>
    <w:unhideWhenUsed/>
    <w:uiPriority w:val="99"/>
    <w:rPr>
      <w:rFonts w:ascii="宋体" w:eastAsia="宋体"/>
      <w:szCs w:val="24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3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正文（绿盟科技） Char"/>
    <w:link w:val="17"/>
    <w:qFormat/>
    <w:locked/>
    <w:uiPriority w:val="0"/>
    <w:rPr>
      <w:rFonts w:ascii="Arial" w:hAnsi="Arial" w:eastAsia="宋体" w:cs="Times New Roman"/>
      <w:szCs w:val="21"/>
    </w:rPr>
  </w:style>
  <w:style w:type="paragraph" w:customStyle="1" w:styleId="17">
    <w:name w:val="正文（绿盟科技）"/>
    <w:link w:val="16"/>
    <w:qFormat/>
    <w:uiPriority w:val="0"/>
    <w:pPr>
      <w:spacing w:line="300" w:lineRule="auto"/>
    </w:pPr>
    <w:rPr>
      <w:rFonts w:ascii="Arial" w:hAnsi="Arial" w:eastAsia="宋体" w:cs="Times New Roman"/>
      <w:kern w:val="2"/>
      <w:sz w:val="21"/>
      <w:szCs w:val="21"/>
      <w:lang w:val="en-US" w:eastAsia="zh-CN" w:bidi="ar-SA"/>
    </w:rPr>
  </w:style>
  <w:style w:type="paragraph" w:customStyle="1" w:styleId="18">
    <w:name w:val="文档属性标题（绿盟科技）"/>
    <w:basedOn w:val="17"/>
    <w:qFormat/>
    <w:uiPriority w:val="0"/>
    <w:pPr>
      <w:framePr w:hSpace="180" w:wrap="around" w:vAnchor="text" w:hAnchor="margin" w:xAlign="inside" w:y="121"/>
    </w:pPr>
    <w:rPr>
      <w:b/>
      <w:sz w:val="18"/>
    </w:rPr>
  </w:style>
  <w:style w:type="paragraph" w:customStyle="1" w:styleId="19">
    <w:name w:val="封面版权声明（绿盟科技）"/>
    <w:basedOn w:val="18"/>
    <w:qFormat/>
    <w:uiPriority w:val="0"/>
    <w:pPr>
      <w:jc w:val="right"/>
    </w:pPr>
  </w:style>
  <w:style w:type="paragraph" w:customStyle="1" w:styleId="20">
    <w:name w:val="文档属性（绿盟科技）"/>
    <w:basedOn w:val="18"/>
    <w:qFormat/>
    <w:uiPriority w:val="0"/>
    <w:pPr>
      <w:ind w:left="50" w:leftChars="50"/>
    </w:pPr>
    <w:rPr>
      <w:b w:val="0"/>
    </w:rPr>
  </w:style>
  <w:style w:type="character" w:customStyle="1" w:styleId="21">
    <w:name w:val="批注框文本 字符"/>
    <w:basedOn w:val="14"/>
    <w:link w:val="8"/>
    <w:semiHidden/>
    <w:qFormat/>
    <w:uiPriority w:val="99"/>
    <w:rPr>
      <w:sz w:val="18"/>
      <w:szCs w:val="18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</w:style>
  <w:style w:type="character" w:customStyle="1" w:styleId="23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4"/>
    <w:link w:val="4"/>
    <w:semiHidden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8">
    <w:name w:val="Table Heading"/>
    <w:basedOn w:val="29"/>
    <w:qFormat/>
    <w:uiPriority w:val="0"/>
    <w:pPr>
      <w:spacing w:before="120" w:after="120"/>
    </w:pPr>
    <w:rPr>
      <w:b/>
    </w:rPr>
  </w:style>
  <w:style w:type="paragraph" w:customStyle="1" w:styleId="29">
    <w:name w:val="Table Text"/>
    <w:basedOn w:val="1"/>
    <w:qFormat/>
    <w:uiPriority w:val="0"/>
    <w:pPr>
      <w:keepLines/>
      <w:overflowPunct w:val="0"/>
      <w:autoSpaceDE w:val="0"/>
      <w:autoSpaceDN w:val="0"/>
      <w:adjustRightInd w:val="0"/>
      <w:textAlignment w:val="baseline"/>
    </w:pPr>
    <w:rPr>
      <w:rFonts w:ascii="宋体"/>
      <w:kern w:val="0"/>
      <w:sz w:val="16"/>
      <w:szCs w:val="20"/>
    </w:rPr>
  </w:style>
  <w:style w:type="paragraph" w:customStyle="1" w:styleId="30">
    <w:name w:val="无间隔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1">
    <w:name w:val="页眉 字符"/>
    <w:basedOn w:val="14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2">
    <w:name w:val="页脚 字符"/>
    <w:basedOn w:val="14"/>
    <w:link w:val="9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33">
    <w:name w:val="文档结构图 字符"/>
    <w:basedOn w:val="14"/>
    <w:link w:val="6"/>
    <w:semiHidden/>
    <w:qFormat/>
    <w:uiPriority w:val="99"/>
    <w:rPr>
      <w:rFonts w:ascii="宋体" w:hAnsiTheme="minorHAnsi" w:cstheme="minorBidi"/>
      <w:kern w:val="2"/>
      <w:sz w:val="24"/>
      <w:szCs w:val="24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customXml" Target="../customXml/item2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BF704D-702F-4DCB-8D28-38F636A196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567</Words>
  <Characters>3238</Characters>
  <Lines>26</Lines>
  <Paragraphs>7</Paragraphs>
  <TotalTime>12</TotalTime>
  <ScaleCrop>false</ScaleCrop>
  <LinksUpToDate>false</LinksUpToDate>
  <CharactersWithSpaces>3798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2018-08-10T08:55:00Z</dcterms:created>
  <dc:creator>Administrator</dc:creator>
  <cp:lastModifiedBy>玲珑</cp:lastModifiedBy>
  <dcterms:modified xsi:type="dcterms:W3CDTF">2020-11-10T02:04:53Z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